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991462" w14:textId="178BE279" w:rsidR="00260CAF" w:rsidRPr="00260CAF" w:rsidRDefault="00260CAF" w:rsidP="00260CAF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  <w:r>
        <w:rPr>
          <w:noProof/>
        </w:rPr>
        <w:drawing>
          <wp:inline distT="0" distB="0" distL="0" distR="0" wp14:anchorId="6C7C0D40" wp14:editId="179FC359">
            <wp:extent cx="2301766" cy="771788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46" cy="78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5A5E" w14:textId="07CE2C1E" w:rsidR="00260CAF" w:rsidRDefault="00260CAF" w:rsidP="00260CAF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0B7F2CCE" w14:textId="77777777" w:rsidR="00260CAF" w:rsidRPr="00260CAF" w:rsidRDefault="00260CAF" w:rsidP="00260CAF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644EDD4F" w14:textId="77777777" w:rsidR="00260CAF" w:rsidRPr="00260CAF" w:rsidRDefault="00260CAF" w:rsidP="00260CAF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7E2813F4" w14:textId="77777777" w:rsidR="00260CAF" w:rsidRPr="00260CAF" w:rsidRDefault="00260CAF" w:rsidP="00260CAF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1816CF92" w14:textId="23B933DB" w:rsidR="00B1289D" w:rsidRDefault="000B3D98" w:rsidP="006473A0">
      <w:pPr>
        <w:spacing w:after="0" w:line="192" w:lineRule="auto"/>
        <w:contextualSpacing/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</w:pPr>
      <w:r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  <w:t xml:space="preserve">September </w:t>
      </w:r>
      <w:r w:rsidRPr="00260CAF"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  <w:t>2022</w:t>
      </w:r>
    </w:p>
    <w:p w14:paraId="68DFA00C" w14:textId="77777777" w:rsidR="00B1289D" w:rsidRDefault="00B1289D" w:rsidP="006473A0">
      <w:pPr>
        <w:spacing w:after="0" w:line="192" w:lineRule="auto"/>
        <w:contextualSpacing/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</w:pPr>
    </w:p>
    <w:p w14:paraId="39516103" w14:textId="6A04A7DB" w:rsidR="008701DD" w:rsidRPr="00260CAF" w:rsidRDefault="00B1289D" w:rsidP="006473A0">
      <w:pPr>
        <w:spacing w:after="0" w:line="192" w:lineRule="auto"/>
        <w:contextualSpacing/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</w:pPr>
      <w:proofErr w:type="spellStart"/>
      <w:r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  <w:t>Statewide</w:t>
      </w:r>
      <w:proofErr w:type="spellEnd"/>
      <w:r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  <w:t xml:space="preserve"> </w:t>
      </w:r>
      <w:r w:rsidR="006473A0" w:rsidRPr="00260CAF"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  <w:t xml:space="preserve">Credit </w:t>
      </w:r>
      <w:r w:rsidR="00260CAF" w:rsidRPr="00260CAF"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  <w:t>Tender</w:t>
      </w:r>
    </w:p>
    <w:p w14:paraId="3FCC3AD3" w14:textId="18F980D4" w:rsidR="00260CAF" w:rsidRPr="00260CAF" w:rsidRDefault="00260CAF" w:rsidP="006473A0">
      <w:pPr>
        <w:spacing w:after="0" w:line="192" w:lineRule="auto"/>
        <w:contextualSpacing/>
        <w:rPr>
          <w:rFonts w:ascii="Arial Black" w:eastAsia="SimHei" w:hAnsi="Arial Black" w:cs="Arial"/>
          <w:color w:val="862F21"/>
          <w:spacing w:val="-10"/>
          <w:kern w:val="28"/>
          <w:sz w:val="52"/>
          <w:szCs w:val="48"/>
          <w:lang w:val="en-AU"/>
        </w:rPr>
      </w:pPr>
    </w:p>
    <w:p w14:paraId="36D00621" w14:textId="1B25EBF0" w:rsidR="00260CAF" w:rsidRPr="00260CAF" w:rsidRDefault="00D169D5" w:rsidP="006473A0">
      <w:pPr>
        <w:spacing w:after="0" w:line="192" w:lineRule="auto"/>
        <w:contextualSpacing/>
        <w:rPr>
          <w:rFonts w:ascii="Arial Black" w:eastAsia="SimHei" w:hAnsi="Arial Black" w:cs="Arial"/>
          <w:color w:val="F39000"/>
          <w:spacing w:val="-10"/>
          <w:kern w:val="28"/>
          <w:sz w:val="52"/>
          <w:szCs w:val="48"/>
          <w:lang w:val="en-AU"/>
        </w:rPr>
      </w:pPr>
      <w:r>
        <w:rPr>
          <w:rFonts w:ascii="Arial Black" w:eastAsia="SimHei" w:hAnsi="Arial Black" w:cs="Arial"/>
          <w:color w:val="F39000"/>
          <w:spacing w:val="-10"/>
          <w:kern w:val="28"/>
          <w:sz w:val="52"/>
          <w:szCs w:val="48"/>
          <w:lang w:val="en-AU"/>
        </w:rPr>
        <w:t>Outcomes report</w:t>
      </w:r>
    </w:p>
    <w:p w14:paraId="7EC78220" w14:textId="77777777" w:rsidR="00260CAF" w:rsidRDefault="00260CAF" w:rsidP="006473A0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7EE7EBF0" w14:textId="77777777" w:rsidR="00260CAF" w:rsidRDefault="00260CAF" w:rsidP="006473A0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5570BB28" w14:textId="77777777" w:rsidR="00260CAF" w:rsidRDefault="00260CAF" w:rsidP="006473A0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14D9D38D" w14:textId="05AB1DF6" w:rsidR="00260CAF" w:rsidRDefault="00260CAF" w:rsidP="006473A0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10B5BDF8" w14:textId="77777777" w:rsidR="00260CAF" w:rsidRDefault="00260CAF" w:rsidP="006473A0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1CE78377" w14:textId="77777777" w:rsidR="00260CAF" w:rsidRDefault="00260CAF" w:rsidP="006473A0">
      <w:pPr>
        <w:numPr>
          <w:ilvl w:val="1"/>
          <w:numId w:val="0"/>
        </w:numPr>
        <w:spacing w:before="420"/>
        <w:rPr>
          <w:rFonts w:ascii="Arial" w:eastAsia="SimHei" w:hAnsi="Arial" w:cs="Arial"/>
          <w:color w:val="862F21"/>
          <w:sz w:val="24"/>
          <w:szCs w:val="22"/>
          <w:lang w:val="en-AU"/>
        </w:rPr>
      </w:pPr>
    </w:p>
    <w:p w14:paraId="6D3A1B61" w14:textId="7EBA0F7D" w:rsidR="006473A0" w:rsidRPr="006473A0" w:rsidRDefault="002513B6" w:rsidP="00260CAF">
      <w:pPr>
        <w:numPr>
          <w:ilvl w:val="1"/>
          <w:numId w:val="0"/>
        </w:numPr>
        <w:spacing w:before="420"/>
        <w:jc w:val="right"/>
        <w:rPr>
          <w:rFonts w:ascii="Arial" w:eastAsia="SimHei" w:hAnsi="Arial" w:cs="Arial"/>
          <w:color w:val="FFFFFF"/>
          <w:sz w:val="24"/>
          <w:szCs w:val="22"/>
          <w:lang w:val="en-AU"/>
        </w:rPr>
      </w:pPr>
      <w:r>
        <w:rPr>
          <w:rFonts w:ascii="Arial" w:eastAsia="SimHei" w:hAnsi="Arial" w:cs="Arial"/>
          <w:color w:val="862F21"/>
          <w:sz w:val="28"/>
          <w:lang w:val="en-AU"/>
        </w:rPr>
        <w:t>May</w:t>
      </w:r>
      <w:r w:rsidR="00D169D5">
        <w:rPr>
          <w:rFonts w:ascii="Arial" w:eastAsia="SimHei" w:hAnsi="Arial" w:cs="Arial"/>
          <w:color w:val="862F21"/>
          <w:sz w:val="28"/>
          <w:lang w:val="en-AU"/>
        </w:rPr>
        <w:t xml:space="preserve"> </w:t>
      </w:r>
      <w:r w:rsidR="000B3D98" w:rsidRPr="00260CAF">
        <w:rPr>
          <w:rFonts w:ascii="Arial" w:eastAsia="SimHei" w:hAnsi="Arial" w:cs="Arial"/>
          <w:color w:val="862F21"/>
          <w:sz w:val="28"/>
          <w:lang w:val="en-AU"/>
        </w:rPr>
        <w:t>202</w:t>
      </w:r>
      <w:r w:rsidR="00D169D5">
        <w:rPr>
          <w:rFonts w:ascii="Arial" w:eastAsia="SimHei" w:hAnsi="Arial" w:cs="Arial"/>
          <w:color w:val="862F21"/>
          <w:sz w:val="28"/>
          <w:lang w:val="en-AU"/>
        </w:rPr>
        <w:t>3</w:t>
      </w:r>
    </w:p>
    <w:p w14:paraId="312E1891" w14:textId="77777777" w:rsidR="006571B3" w:rsidRDefault="006571B3" w:rsidP="006571B3">
      <w:pPr>
        <w:rPr>
          <w:lang w:val="en-AU"/>
        </w:rPr>
        <w:sectPr w:rsidR="006571B3" w:rsidSect="00260CAF">
          <w:headerReference w:type="default" r:id="rId10"/>
          <w:footerReference w:type="even" r:id="rId11"/>
          <w:footerReference w:type="default" r:id="rId12"/>
          <w:pgSz w:w="11900" w:h="16840"/>
          <w:pgMar w:top="1440" w:right="1440" w:bottom="1440" w:left="1440" w:header="709" w:footer="709" w:gutter="0"/>
          <w:cols w:space="708"/>
          <w:titlePg/>
          <w:docGrid w:linePitch="400"/>
        </w:sectPr>
      </w:pPr>
    </w:p>
    <w:p w14:paraId="7908C33D" w14:textId="77777777" w:rsidR="002513B6" w:rsidRDefault="002513B6" w:rsidP="002513B6">
      <w:pPr>
        <w:pStyle w:val="TOC1"/>
      </w:pPr>
    </w:p>
    <w:p w14:paraId="3FFA9DC8" w14:textId="77777777" w:rsidR="002513B6" w:rsidRDefault="002513B6" w:rsidP="002513B6">
      <w:pPr>
        <w:pStyle w:val="TOC1"/>
      </w:pPr>
    </w:p>
    <w:p w14:paraId="0F31E79C" w14:textId="0C83D3A2" w:rsidR="00BA1B6D" w:rsidRDefault="006571B3" w:rsidP="002513B6">
      <w:pPr>
        <w:pStyle w:val="TOC1"/>
      </w:pPr>
      <w:r w:rsidRPr="002513B6">
        <w:t>Contents</w:t>
      </w:r>
    </w:p>
    <w:p w14:paraId="385AA4C6" w14:textId="77777777" w:rsidR="002513B6" w:rsidRPr="002513B6" w:rsidRDefault="002513B6" w:rsidP="002513B6"/>
    <w:p w14:paraId="225C511A" w14:textId="088F25E5" w:rsidR="00B85B2B" w:rsidRPr="002513B6" w:rsidRDefault="00CE3CD8" w:rsidP="002513B6">
      <w:pPr>
        <w:pStyle w:val="TOC1"/>
        <w:rPr>
          <w:noProof/>
          <w:color w:val="auto"/>
          <w:sz w:val="24"/>
          <w:szCs w:val="24"/>
          <w:lang w:val="en-AU" w:eastAsia="en-AU"/>
        </w:rPr>
      </w:pPr>
      <w:r w:rsidRPr="002513B6">
        <w:rPr>
          <w:sz w:val="24"/>
          <w:szCs w:val="24"/>
        </w:rPr>
        <w:fldChar w:fldCharType="begin"/>
      </w:r>
      <w:r w:rsidRPr="002513B6">
        <w:rPr>
          <w:sz w:val="24"/>
          <w:szCs w:val="24"/>
        </w:rPr>
        <w:instrText xml:space="preserve"> TOC \o "1-1" \h \z \u </w:instrText>
      </w:r>
      <w:r w:rsidRPr="002513B6">
        <w:rPr>
          <w:sz w:val="24"/>
          <w:szCs w:val="24"/>
        </w:rPr>
        <w:fldChar w:fldCharType="separate"/>
      </w:r>
      <w:hyperlink w:anchor="_Toc130995844" w:history="1">
        <w:r w:rsidR="00B85B2B" w:rsidRPr="002513B6">
          <w:rPr>
            <w:rStyle w:val="Hyperlink"/>
            <w:noProof/>
            <w:sz w:val="24"/>
            <w:szCs w:val="24"/>
          </w:rPr>
          <w:t>1.</w:t>
        </w:r>
        <w:r w:rsidR="00B85B2B" w:rsidRPr="002513B6">
          <w:rPr>
            <w:noProof/>
            <w:color w:val="auto"/>
            <w:sz w:val="24"/>
            <w:szCs w:val="24"/>
            <w:lang w:val="en-AU" w:eastAsia="en-AU"/>
          </w:rPr>
          <w:tab/>
        </w:r>
        <w:r w:rsidR="00B85B2B" w:rsidRPr="002513B6">
          <w:rPr>
            <w:rStyle w:val="Hyperlink"/>
            <w:noProof/>
            <w:sz w:val="24"/>
            <w:szCs w:val="24"/>
          </w:rPr>
          <w:t>Purpose</w:t>
        </w:r>
        <w:r w:rsidR="00B85B2B" w:rsidRPr="002513B6">
          <w:rPr>
            <w:noProof/>
            <w:webHidden/>
            <w:sz w:val="24"/>
            <w:szCs w:val="24"/>
          </w:rPr>
          <w:tab/>
        </w:r>
        <w:r w:rsidR="00B85B2B" w:rsidRPr="002513B6">
          <w:rPr>
            <w:noProof/>
            <w:webHidden/>
            <w:sz w:val="24"/>
            <w:szCs w:val="24"/>
          </w:rPr>
          <w:fldChar w:fldCharType="begin"/>
        </w:r>
        <w:r w:rsidR="00B85B2B" w:rsidRPr="002513B6">
          <w:rPr>
            <w:noProof/>
            <w:webHidden/>
            <w:sz w:val="24"/>
            <w:szCs w:val="24"/>
          </w:rPr>
          <w:instrText xml:space="preserve"> PAGEREF _Toc130995844 \h </w:instrText>
        </w:r>
        <w:r w:rsidR="00B85B2B" w:rsidRPr="002513B6">
          <w:rPr>
            <w:noProof/>
            <w:webHidden/>
            <w:sz w:val="24"/>
            <w:szCs w:val="24"/>
          </w:rPr>
        </w:r>
        <w:r w:rsidR="00B85B2B" w:rsidRPr="002513B6">
          <w:rPr>
            <w:noProof/>
            <w:webHidden/>
            <w:sz w:val="24"/>
            <w:szCs w:val="24"/>
          </w:rPr>
          <w:fldChar w:fldCharType="separate"/>
        </w:r>
        <w:r w:rsidR="00B85B2B" w:rsidRPr="002513B6">
          <w:rPr>
            <w:noProof/>
            <w:webHidden/>
            <w:sz w:val="24"/>
            <w:szCs w:val="24"/>
          </w:rPr>
          <w:t>3</w:t>
        </w:r>
        <w:r w:rsidR="00B85B2B" w:rsidRPr="002513B6">
          <w:rPr>
            <w:noProof/>
            <w:webHidden/>
            <w:sz w:val="24"/>
            <w:szCs w:val="24"/>
          </w:rPr>
          <w:fldChar w:fldCharType="end"/>
        </w:r>
      </w:hyperlink>
    </w:p>
    <w:p w14:paraId="4AA017AE" w14:textId="526410EE" w:rsidR="00B85B2B" w:rsidRPr="002513B6" w:rsidRDefault="00810C3D" w:rsidP="002513B6">
      <w:pPr>
        <w:pStyle w:val="TOC1"/>
        <w:rPr>
          <w:noProof/>
          <w:color w:val="auto"/>
          <w:sz w:val="24"/>
          <w:szCs w:val="24"/>
          <w:lang w:val="en-AU" w:eastAsia="en-AU"/>
        </w:rPr>
      </w:pPr>
      <w:hyperlink w:anchor="_Toc130995845" w:history="1">
        <w:r w:rsidR="00B85B2B" w:rsidRPr="002513B6">
          <w:rPr>
            <w:rStyle w:val="Hyperlink"/>
            <w:noProof/>
            <w:sz w:val="24"/>
            <w:szCs w:val="24"/>
          </w:rPr>
          <w:t>2.</w:t>
        </w:r>
        <w:r w:rsidR="00B85B2B" w:rsidRPr="002513B6">
          <w:rPr>
            <w:noProof/>
            <w:color w:val="auto"/>
            <w:sz w:val="24"/>
            <w:szCs w:val="24"/>
            <w:lang w:val="en-AU" w:eastAsia="en-AU"/>
          </w:rPr>
          <w:tab/>
        </w:r>
        <w:r w:rsidR="00B85B2B" w:rsidRPr="002513B6">
          <w:rPr>
            <w:rStyle w:val="Hyperlink"/>
            <w:noProof/>
            <w:sz w:val="24"/>
            <w:szCs w:val="24"/>
          </w:rPr>
          <w:t>Introduction</w:t>
        </w:r>
        <w:r w:rsidR="00B85B2B" w:rsidRPr="002513B6">
          <w:rPr>
            <w:noProof/>
            <w:webHidden/>
            <w:sz w:val="24"/>
            <w:szCs w:val="24"/>
          </w:rPr>
          <w:tab/>
        </w:r>
        <w:r w:rsidR="00B85B2B" w:rsidRPr="002513B6">
          <w:rPr>
            <w:noProof/>
            <w:webHidden/>
            <w:sz w:val="24"/>
            <w:szCs w:val="24"/>
          </w:rPr>
          <w:fldChar w:fldCharType="begin"/>
        </w:r>
        <w:r w:rsidR="00B85B2B" w:rsidRPr="002513B6">
          <w:rPr>
            <w:noProof/>
            <w:webHidden/>
            <w:sz w:val="24"/>
            <w:szCs w:val="24"/>
          </w:rPr>
          <w:instrText xml:space="preserve"> PAGEREF _Toc130995845 \h </w:instrText>
        </w:r>
        <w:r w:rsidR="00B85B2B" w:rsidRPr="002513B6">
          <w:rPr>
            <w:noProof/>
            <w:webHidden/>
            <w:sz w:val="24"/>
            <w:szCs w:val="24"/>
          </w:rPr>
        </w:r>
        <w:r w:rsidR="00B85B2B" w:rsidRPr="002513B6">
          <w:rPr>
            <w:noProof/>
            <w:webHidden/>
            <w:sz w:val="24"/>
            <w:szCs w:val="24"/>
          </w:rPr>
          <w:fldChar w:fldCharType="separate"/>
        </w:r>
        <w:r w:rsidR="00B85B2B" w:rsidRPr="002513B6">
          <w:rPr>
            <w:noProof/>
            <w:webHidden/>
            <w:sz w:val="24"/>
            <w:szCs w:val="24"/>
          </w:rPr>
          <w:t>3</w:t>
        </w:r>
        <w:r w:rsidR="00B85B2B" w:rsidRPr="002513B6">
          <w:rPr>
            <w:noProof/>
            <w:webHidden/>
            <w:sz w:val="24"/>
            <w:szCs w:val="24"/>
          </w:rPr>
          <w:fldChar w:fldCharType="end"/>
        </w:r>
      </w:hyperlink>
    </w:p>
    <w:p w14:paraId="7AB941C1" w14:textId="2BBB52A4" w:rsidR="00B85B2B" w:rsidRPr="002513B6" w:rsidRDefault="00810C3D" w:rsidP="002513B6">
      <w:pPr>
        <w:pStyle w:val="TOC1"/>
        <w:rPr>
          <w:noProof/>
          <w:color w:val="auto"/>
          <w:sz w:val="24"/>
          <w:szCs w:val="24"/>
          <w:lang w:val="en-AU" w:eastAsia="en-AU"/>
        </w:rPr>
      </w:pPr>
      <w:hyperlink w:anchor="_Toc130995846" w:history="1">
        <w:r w:rsidR="00B85B2B" w:rsidRPr="002513B6">
          <w:rPr>
            <w:rStyle w:val="Hyperlink"/>
            <w:noProof/>
            <w:sz w:val="24"/>
            <w:szCs w:val="24"/>
          </w:rPr>
          <w:t>3.</w:t>
        </w:r>
        <w:r w:rsidR="00B85B2B" w:rsidRPr="002513B6">
          <w:rPr>
            <w:noProof/>
            <w:color w:val="auto"/>
            <w:sz w:val="24"/>
            <w:szCs w:val="24"/>
            <w:lang w:val="en-AU" w:eastAsia="en-AU"/>
          </w:rPr>
          <w:tab/>
        </w:r>
        <w:r w:rsidR="00B85B2B" w:rsidRPr="002513B6">
          <w:rPr>
            <w:rStyle w:val="Hyperlink"/>
            <w:noProof/>
            <w:sz w:val="24"/>
            <w:szCs w:val="24"/>
          </w:rPr>
          <w:t>Tender process</w:t>
        </w:r>
        <w:r w:rsidR="00B85B2B" w:rsidRPr="002513B6">
          <w:rPr>
            <w:noProof/>
            <w:webHidden/>
            <w:sz w:val="24"/>
            <w:szCs w:val="24"/>
          </w:rPr>
          <w:tab/>
        </w:r>
        <w:r w:rsidR="00B85B2B" w:rsidRPr="002513B6">
          <w:rPr>
            <w:noProof/>
            <w:webHidden/>
            <w:sz w:val="24"/>
            <w:szCs w:val="24"/>
          </w:rPr>
          <w:fldChar w:fldCharType="begin"/>
        </w:r>
        <w:r w:rsidR="00B85B2B" w:rsidRPr="002513B6">
          <w:rPr>
            <w:noProof/>
            <w:webHidden/>
            <w:sz w:val="24"/>
            <w:szCs w:val="24"/>
          </w:rPr>
          <w:instrText xml:space="preserve"> PAGEREF _Toc130995846 \h </w:instrText>
        </w:r>
        <w:r w:rsidR="00B85B2B" w:rsidRPr="002513B6">
          <w:rPr>
            <w:noProof/>
            <w:webHidden/>
            <w:sz w:val="24"/>
            <w:szCs w:val="24"/>
          </w:rPr>
        </w:r>
        <w:r w:rsidR="00B85B2B" w:rsidRPr="002513B6">
          <w:rPr>
            <w:noProof/>
            <w:webHidden/>
            <w:sz w:val="24"/>
            <w:szCs w:val="24"/>
          </w:rPr>
          <w:fldChar w:fldCharType="separate"/>
        </w:r>
        <w:r w:rsidR="00B85B2B" w:rsidRPr="002513B6">
          <w:rPr>
            <w:noProof/>
            <w:webHidden/>
            <w:sz w:val="24"/>
            <w:szCs w:val="24"/>
          </w:rPr>
          <w:t>3</w:t>
        </w:r>
        <w:r w:rsidR="00B85B2B" w:rsidRPr="002513B6">
          <w:rPr>
            <w:noProof/>
            <w:webHidden/>
            <w:sz w:val="24"/>
            <w:szCs w:val="24"/>
          </w:rPr>
          <w:fldChar w:fldCharType="end"/>
        </w:r>
      </w:hyperlink>
    </w:p>
    <w:p w14:paraId="301C7742" w14:textId="6A65CE67" w:rsidR="00B85B2B" w:rsidRPr="002513B6" w:rsidRDefault="00810C3D" w:rsidP="002513B6">
      <w:pPr>
        <w:pStyle w:val="TOC1"/>
        <w:rPr>
          <w:noProof/>
          <w:color w:val="auto"/>
          <w:sz w:val="24"/>
          <w:szCs w:val="24"/>
          <w:lang w:val="en-AU" w:eastAsia="en-AU"/>
        </w:rPr>
      </w:pPr>
      <w:hyperlink w:anchor="_Toc130995847" w:history="1">
        <w:r w:rsidR="00B85B2B" w:rsidRPr="002513B6">
          <w:rPr>
            <w:rStyle w:val="Hyperlink"/>
            <w:noProof/>
            <w:sz w:val="24"/>
            <w:szCs w:val="24"/>
          </w:rPr>
          <w:t>4.</w:t>
        </w:r>
        <w:r w:rsidR="00B85B2B" w:rsidRPr="002513B6">
          <w:rPr>
            <w:noProof/>
            <w:color w:val="auto"/>
            <w:sz w:val="24"/>
            <w:szCs w:val="24"/>
            <w:lang w:val="en-AU" w:eastAsia="en-AU"/>
          </w:rPr>
          <w:tab/>
        </w:r>
        <w:r w:rsidR="00B85B2B" w:rsidRPr="002513B6">
          <w:rPr>
            <w:rStyle w:val="Hyperlink"/>
            <w:noProof/>
            <w:sz w:val="24"/>
            <w:szCs w:val="24"/>
          </w:rPr>
          <w:t>Tender Outcomes</w:t>
        </w:r>
        <w:r w:rsidR="00B85B2B" w:rsidRPr="002513B6">
          <w:rPr>
            <w:noProof/>
            <w:webHidden/>
            <w:sz w:val="24"/>
            <w:szCs w:val="24"/>
          </w:rPr>
          <w:tab/>
        </w:r>
        <w:r w:rsidR="00B85B2B" w:rsidRPr="002513B6">
          <w:rPr>
            <w:noProof/>
            <w:webHidden/>
            <w:sz w:val="24"/>
            <w:szCs w:val="24"/>
          </w:rPr>
          <w:fldChar w:fldCharType="begin"/>
        </w:r>
        <w:r w:rsidR="00B85B2B" w:rsidRPr="002513B6">
          <w:rPr>
            <w:noProof/>
            <w:webHidden/>
            <w:sz w:val="24"/>
            <w:szCs w:val="24"/>
          </w:rPr>
          <w:instrText xml:space="preserve"> PAGEREF _Toc130995847 \h </w:instrText>
        </w:r>
        <w:r w:rsidR="00B85B2B" w:rsidRPr="002513B6">
          <w:rPr>
            <w:noProof/>
            <w:webHidden/>
            <w:sz w:val="24"/>
            <w:szCs w:val="24"/>
          </w:rPr>
        </w:r>
        <w:r w:rsidR="00B85B2B" w:rsidRPr="002513B6">
          <w:rPr>
            <w:noProof/>
            <w:webHidden/>
            <w:sz w:val="24"/>
            <w:szCs w:val="24"/>
          </w:rPr>
          <w:fldChar w:fldCharType="separate"/>
        </w:r>
        <w:r w:rsidR="00B85B2B" w:rsidRPr="002513B6">
          <w:rPr>
            <w:noProof/>
            <w:webHidden/>
            <w:sz w:val="24"/>
            <w:szCs w:val="24"/>
          </w:rPr>
          <w:t>5</w:t>
        </w:r>
        <w:r w:rsidR="00B85B2B" w:rsidRPr="002513B6">
          <w:rPr>
            <w:noProof/>
            <w:webHidden/>
            <w:sz w:val="24"/>
            <w:szCs w:val="24"/>
          </w:rPr>
          <w:fldChar w:fldCharType="end"/>
        </w:r>
      </w:hyperlink>
    </w:p>
    <w:p w14:paraId="4F17F96A" w14:textId="3AFC4666" w:rsidR="00B85B2B" w:rsidRPr="002513B6" w:rsidRDefault="00810C3D" w:rsidP="002513B6">
      <w:pPr>
        <w:pStyle w:val="TOC1"/>
        <w:rPr>
          <w:noProof/>
          <w:color w:val="auto"/>
          <w:sz w:val="24"/>
          <w:szCs w:val="24"/>
          <w:lang w:val="en-AU" w:eastAsia="en-AU"/>
        </w:rPr>
      </w:pPr>
      <w:hyperlink w:anchor="_Toc130995848" w:history="1">
        <w:r w:rsidR="00B85B2B" w:rsidRPr="002513B6">
          <w:rPr>
            <w:rStyle w:val="Hyperlink"/>
            <w:noProof/>
            <w:sz w:val="24"/>
            <w:szCs w:val="24"/>
          </w:rPr>
          <w:t>Attachment A – Results</w:t>
        </w:r>
        <w:r w:rsidR="00B85B2B" w:rsidRPr="002513B6">
          <w:rPr>
            <w:noProof/>
            <w:webHidden/>
            <w:sz w:val="24"/>
            <w:szCs w:val="24"/>
          </w:rPr>
          <w:tab/>
        </w:r>
        <w:r w:rsidR="00B85B2B" w:rsidRPr="002513B6">
          <w:rPr>
            <w:noProof/>
            <w:webHidden/>
            <w:sz w:val="24"/>
            <w:szCs w:val="24"/>
          </w:rPr>
          <w:fldChar w:fldCharType="begin"/>
        </w:r>
        <w:r w:rsidR="00B85B2B" w:rsidRPr="002513B6">
          <w:rPr>
            <w:noProof/>
            <w:webHidden/>
            <w:sz w:val="24"/>
            <w:szCs w:val="24"/>
          </w:rPr>
          <w:instrText xml:space="preserve"> PAGEREF _Toc130995848 \h </w:instrText>
        </w:r>
        <w:r w:rsidR="00B85B2B" w:rsidRPr="002513B6">
          <w:rPr>
            <w:noProof/>
            <w:webHidden/>
            <w:sz w:val="24"/>
            <w:szCs w:val="24"/>
          </w:rPr>
        </w:r>
        <w:r w:rsidR="00B85B2B" w:rsidRPr="002513B6">
          <w:rPr>
            <w:noProof/>
            <w:webHidden/>
            <w:sz w:val="24"/>
            <w:szCs w:val="24"/>
          </w:rPr>
          <w:fldChar w:fldCharType="separate"/>
        </w:r>
        <w:r w:rsidR="00B85B2B" w:rsidRPr="002513B6">
          <w:rPr>
            <w:noProof/>
            <w:webHidden/>
            <w:sz w:val="24"/>
            <w:szCs w:val="24"/>
          </w:rPr>
          <w:t>7</w:t>
        </w:r>
        <w:r w:rsidR="00B85B2B" w:rsidRPr="002513B6">
          <w:rPr>
            <w:noProof/>
            <w:webHidden/>
            <w:sz w:val="24"/>
            <w:szCs w:val="24"/>
          </w:rPr>
          <w:fldChar w:fldCharType="end"/>
        </w:r>
      </w:hyperlink>
    </w:p>
    <w:p w14:paraId="3CF48DE9" w14:textId="65C83A90" w:rsidR="00491FF9" w:rsidRDefault="00CE3CD8" w:rsidP="006571B3">
      <w:pPr>
        <w:rPr>
          <w:lang w:val="en-AU"/>
        </w:rPr>
      </w:pPr>
      <w:r w:rsidRPr="002513B6">
        <w:rPr>
          <w:sz w:val="24"/>
          <w:lang w:val="en-AU"/>
        </w:rPr>
        <w:fldChar w:fldCharType="end"/>
      </w:r>
    </w:p>
    <w:p w14:paraId="2A82B431" w14:textId="77777777" w:rsidR="00491FF9" w:rsidRDefault="00491FF9" w:rsidP="006571B3">
      <w:pPr>
        <w:rPr>
          <w:lang w:val="en-AU"/>
        </w:rPr>
      </w:pPr>
    </w:p>
    <w:p w14:paraId="1822B5D8" w14:textId="77777777" w:rsidR="00491FF9" w:rsidRDefault="00491FF9" w:rsidP="006571B3">
      <w:pPr>
        <w:rPr>
          <w:lang w:val="en-AU"/>
        </w:rPr>
      </w:pPr>
    </w:p>
    <w:p w14:paraId="5205D576" w14:textId="75405220" w:rsidR="006571B3" w:rsidRDefault="006571B3" w:rsidP="006571B3">
      <w:pPr>
        <w:rPr>
          <w:lang w:val="en-AU"/>
        </w:rPr>
      </w:pPr>
      <w:r>
        <w:rPr>
          <w:lang w:val="en-AU"/>
        </w:rPr>
        <w:br w:type="page"/>
      </w:r>
    </w:p>
    <w:p w14:paraId="44DAEEA7" w14:textId="71B3ADA0" w:rsidR="00034FFD" w:rsidRPr="00201047" w:rsidRDefault="00D169D5" w:rsidP="00051F5B">
      <w:pPr>
        <w:pStyle w:val="Heading1"/>
        <w:ind w:left="720" w:hanging="720"/>
      </w:pPr>
      <w:bookmarkStart w:id="0" w:name="_Toc130995844"/>
      <w:r>
        <w:lastRenderedPageBreak/>
        <w:t>Purpose</w:t>
      </w:r>
      <w:bookmarkEnd w:id="0"/>
    </w:p>
    <w:p w14:paraId="570BE13B" w14:textId="1D0144BB" w:rsidR="00D169D5" w:rsidRPr="008C5564" w:rsidRDefault="00D169D5" w:rsidP="00D169D5">
      <w:r>
        <w:t xml:space="preserve">This report outlines the results of the Biodiversity Conservation Trust’s (BCT’s) state-wide biodiversity Credit Tender held in September 2022. It provides insight to the number and type of credits </w:t>
      </w:r>
      <w:r w:rsidR="003B0FD0">
        <w:t>and</w:t>
      </w:r>
      <w:r>
        <w:t xml:space="preserve"> bids received and the successful bids BCT offered to purchase credits from. It also explains the reasons for these outcomes. The purpose of the report is to support the </w:t>
      </w:r>
      <w:r w:rsidR="001863F8" w:rsidRPr="008E3998">
        <w:t>Biodiversity Offsets Scheme</w:t>
      </w:r>
      <w:r w:rsidR="001863F8">
        <w:t xml:space="preserve"> </w:t>
      </w:r>
      <w:r>
        <w:t xml:space="preserve">by providing </w:t>
      </w:r>
      <w:r w:rsidR="001863F8">
        <w:t xml:space="preserve">market </w:t>
      </w:r>
      <w:r>
        <w:t xml:space="preserve">information to participants. </w:t>
      </w:r>
    </w:p>
    <w:p w14:paraId="6BAC87E8" w14:textId="77777777" w:rsidR="00D169D5" w:rsidRDefault="00D169D5" w:rsidP="00D169D5">
      <w:pPr>
        <w:pStyle w:val="Heading1"/>
      </w:pPr>
      <w:bookmarkStart w:id="1" w:name="_Toc130995845"/>
      <w:r>
        <w:t>Introduction</w:t>
      </w:r>
      <w:bookmarkEnd w:id="1"/>
    </w:p>
    <w:p w14:paraId="54E6C24C" w14:textId="6B5D91EB" w:rsidR="00D169D5" w:rsidRPr="00D813CA" w:rsidRDefault="00D169D5" w:rsidP="00D169D5">
      <w:r w:rsidRPr="008E3998">
        <w:t xml:space="preserve">The </w:t>
      </w:r>
      <w:r w:rsidR="001863F8" w:rsidRPr="008E3998">
        <w:t xml:space="preserve">Biodiversity Offsets </w:t>
      </w:r>
      <w:r>
        <w:t>Scheme</w:t>
      </w:r>
      <w:r w:rsidRPr="008E3998">
        <w:t xml:space="preserve"> </w:t>
      </w:r>
      <w:r w:rsidR="001863F8">
        <w:t>(the Scheme)</w:t>
      </w:r>
      <w:r w:rsidR="001863F8" w:rsidRPr="008E3998">
        <w:t xml:space="preserve"> </w:t>
      </w:r>
      <w:r w:rsidRPr="008E3998">
        <w:t xml:space="preserve">introduced by the </w:t>
      </w:r>
      <w:r w:rsidRPr="00DD4492">
        <w:rPr>
          <w:i/>
        </w:rPr>
        <w:t>Biodiversity Conservation Act 2016</w:t>
      </w:r>
      <w:r w:rsidRPr="008E3998">
        <w:t xml:space="preserve"> (BC Act) delivers a transparent, consistent and scientifically based approach to biodiversity offsetting in NSW. A key function of the BCT is to</w:t>
      </w:r>
      <w:r>
        <w:t xml:space="preserve"> act as a market intermediary </w:t>
      </w:r>
      <w:r w:rsidRPr="008E3998">
        <w:t xml:space="preserve">within the Scheme </w:t>
      </w:r>
      <w:r>
        <w:t>to</w:t>
      </w:r>
      <w:r w:rsidRPr="008E3998">
        <w:t xml:space="preserve"> secure offsets on behalf of developers who pay into the </w:t>
      </w:r>
      <w:r>
        <w:t>Biodiversity Conservation Fund (BCF)</w:t>
      </w:r>
      <w:r w:rsidRPr="008E3998">
        <w:t xml:space="preserve">. </w:t>
      </w:r>
      <w:r w:rsidRPr="00D813CA">
        <w:t xml:space="preserve">The BCT’s </w:t>
      </w:r>
      <w:r>
        <w:t xml:space="preserve">Biodiversity Offsets Program (BOP) </w:t>
      </w:r>
      <w:r w:rsidRPr="00D813CA">
        <w:t>is responsible for securing biodiversity credits to meet th</w:t>
      </w:r>
      <w:r>
        <w:t>ese offset obligations</w:t>
      </w:r>
      <w:r w:rsidRPr="00D813CA">
        <w:t>.</w:t>
      </w:r>
      <w:r>
        <w:t xml:space="preserve"> </w:t>
      </w:r>
    </w:p>
    <w:p w14:paraId="33B8B08E" w14:textId="76989149" w:rsidR="00D169D5" w:rsidRDefault="00D169D5" w:rsidP="00D169D5">
      <w:r>
        <w:t xml:space="preserve">A </w:t>
      </w:r>
      <w:r w:rsidR="00263A94">
        <w:t>t</w:t>
      </w:r>
      <w:r>
        <w:t xml:space="preserve">ender is one of the methods used by </w:t>
      </w:r>
      <w:r w:rsidRPr="00D813CA">
        <w:t xml:space="preserve">the BCT to </w:t>
      </w:r>
      <w:r w:rsidR="00263A94">
        <w:t xml:space="preserve">purchase </w:t>
      </w:r>
      <w:r w:rsidRPr="00D813CA">
        <w:t>biodiversity credits.</w:t>
      </w:r>
      <w:r>
        <w:t xml:space="preserve"> In a </w:t>
      </w:r>
      <w:r w:rsidR="00263A94">
        <w:t>tender</w:t>
      </w:r>
      <w:r>
        <w:t>, applicants submit a bid price to sell their credits to the BCT. The BCT considers the bids through a competitive, reverse auction process.</w:t>
      </w:r>
    </w:p>
    <w:p w14:paraId="4F5A1459" w14:textId="07E4DB59" w:rsidR="00D169D5" w:rsidRDefault="002B1E7F" w:rsidP="00D169D5">
      <w:r>
        <w:t>A</w:t>
      </w:r>
      <w:r w:rsidR="00D169D5">
        <w:t xml:space="preserve"> </w:t>
      </w:r>
      <w:r w:rsidR="00263A94">
        <w:t>BCT credit t</w:t>
      </w:r>
      <w:r w:rsidR="00D169D5">
        <w:t xml:space="preserve">ender is available to existing credit owners as well as landholders who are interested in establishing a Biodiversity Stewardship Agreement (BSA). The </w:t>
      </w:r>
      <w:r w:rsidR="00263A94">
        <w:t xml:space="preserve">tender </w:t>
      </w:r>
      <w:r w:rsidR="00D169D5">
        <w:t xml:space="preserve">is limited to credits on the BCT’s Wanted Credits List. The Wanted Credits List is specifically developed for the </w:t>
      </w:r>
      <w:r w:rsidR="00263A94">
        <w:t xml:space="preserve">tender </w:t>
      </w:r>
      <w:r w:rsidR="00D169D5">
        <w:t xml:space="preserve">and is released on the BCT’s </w:t>
      </w:r>
      <w:hyperlink r:id="rId13" w:history="1">
        <w:r w:rsidR="00263A94" w:rsidRPr="00263A94">
          <w:rPr>
            <w:rStyle w:val="Hyperlink"/>
          </w:rPr>
          <w:t>Credit Offer Portal</w:t>
        </w:r>
      </w:hyperlink>
      <w:r w:rsidR="00263A94">
        <w:t xml:space="preserve"> </w:t>
      </w:r>
      <w:r w:rsidR="00D169D5">
        <w:t xml:space="preserve">prior to the </w:t>
      </w:r>
      <w:r w:rsidR="00263A94">
        <w:t xml:space="preserve">tender </w:t>
      </w:r>
      <w:r w:rsidR="00D169D5">
        <w:t xml:space="preserve">opening. </w:t>
      </w:r>
    </w:p>
    <w:p w14:paraId="0A1F295A" w14:textId="77777777" w:rsidR="00D169D5" w:rsidRDefault="00D169D5" w:rsidP="00D169D5">
      <w:pPr>
        <w:pStyle w:val="Heading1"/>
      </w:pPr>
      <w:bookmarkStart w:id="2" w:name="_Toc130995846"/>
      <w:r>
        <w:t>Tender process</w:t>
      </w:r>
      <w:bookmarkEnd w:id="2"/>
    </w:p>
    <w:p w14:paraId="688216D1" w14:textId="41C5B72B" w:rsidR="00D169D5" w:rsidRPr="00DD1149" w:rsidRDefault="00D169D5" w:rsidP="00D169D5">
      <w:r>
        <w:t xml:space="preserve">The September </w:t>
      </w:r>
      <w:r w:rsidRPr="00316BD0">
        <w:t xml:space="preserve">2022 </w:t>
      </w:r>
      <w:r w:rsidR="00263A94">
        <w:t>State</w:t>
      </w:r>
      <w:r>
        <w:t>-wide</w:t>
      </w:r>
      <w:r w:rsidRPr="00316BD0">
        <w:t xml:space="preserve"> </w:t>
      </w:r>
      <w:r w:rsidR="00263A94">
        <w:t>B</w:t>
      </w:r>
      <w:r w:rsidR="00263A94" w:rsidRPr="00316BD0">
        <w:t xml:space="preserve">iodiversity </w:t>
      </w:r>
      <w:r>
        <w:t>C</w:t>
      </w:r>
      <w:r w:rsidRPr="00316BD0">
        <w:t xml:space="preserve">redit Tender </w:t>
      </w:r>
      <w:r w:rsidR="00263A94">
        <w:t xml:space="preserve">(the </w:t>
      </w:r>
      <w:r w:rsidR="007D4EEA">
        <w:t>t</w:t>
      </w:r>
      <w:r w:rsidR="00263A94">
        <w:t xml:space="preserve">ender) </w:t>
      </w:r>
      <w:r w:rsidRPr="00316BD0">
        <w:t>open</w:t>
      </w:r>
      <w:r>
        <w:t>ed</w:t>
      </w:r>
      <w:r w:rsidRPr="00316BD0">
        <w:t xml:space="preserve"> </w:t>
      </w:r>
      <w:r>
        <w:t xml:space="preserve">from </w:t>
      </w:r>
      <w:r w:rsidRPr="00316BD0">
        <w:t xml:space="preserve">7 </w:t>
      </w:r>
      <w:r>
        <w:t xml:space="preserve">to 28 </w:t>
      </w:r>
      <w:r w:rsidRPr="00316BD0">
        <w:t>September 2022</w:t>
      </w:r>
      <w:r>
        <w:t xml:space="preserve">. </w:t>
      </w:r>
      <w:r w:rsidRPr="002271C8">
        <w:t xml:space="preserve">The </w:t>
      </w:r>
      <w:r w:rsidR="009A3BA9" w:rsidRPr="002271C8">
        <w:t xml:space="preserve">tender </w:t>
      </w:r>
      <w:r w:rsidRPr="002271C8">
        <w:t>process is outlined in the</w:t>
      </w:r>
      <w:r w:rsidR="009A3BA9">
        <w:t xml:space="preserve"> </w:t>
      </w:r>
      <w:r w:rsidR="00704A59">
        <w:t xml:space="preserve">tender </w:t>
      </w:r>
      <w:hyperlink r:id="rId14" w:anchor="securing_offsets_on_behalf_of_developers_1391" w:history="1">
        <w:r w:rsidR="00704A59">
          <w:rPr>
            <w:rStyle w:val="Hyperlink"/>
          </w:rPr>
          <w:t>Participants Guide</w:t>
        </w:r>
      </w:hyperlink>
      <w:r w:rsidR="00704A59">
        <w:t xml:space="preserve"> (refer to tender tab</w:t>
      </w:r>
      <w:r w:rsidR="00DD1149" w:rsidRPr="00DD1149">
        <w:rPr>
          <w:rStyle w:val="Hyperlink"/>
          <w:color w:val="auto"/>
          <w:u w:val="none"/>
        </w:rPr>
        <w:t>)</w:t>
      </w:r>
      <w:r w:rsidRPr="00DD1149">
        <w:t>.</w:t>
      </w:r>
    </w:p>
    <w:p w14:paraId="61B247CF" w14:textId="6D25E4AE" w:rsidR="00D169D5" w:rsidRPr="00DD4492" w:rsidRDefault="00D169D5" w:rsidP="00D169D5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7D4EEA">
        <w:rPr>
          <w:rFonts w:eastAsia="Times New Roman"/>
        </w:rPr>
        <w:t xml:space="preserve">tender </w:t>
      </w:r>
      <w:r>
        <w:rPr>
          <w:rFonts w:eastAsia="Times New Roman"/>
        </w:rPr>
        <w:t>was promoted on the BCT’s website, in the</w:t>
      </w:r>
      <w:r w:rsidR="009D655F">
        <w:rPr>
          <w:rFonts w:eastAsia="Times New Roman"/>
        </w:rPr>
        <w:t xml:space="preserve"> direct mail</w:t>
      </w:r>
      <w:r>
        <w:rPr>
          <w:rFonts w:eastAsia="Times New Roman"/>
        </w:rPr>
        <w:t xml:space="preserve"> </w:t>
      </w:r>
      <w:hyperlink r:id="rId15" w:history="1">
        <w:r w:rsidR="009A3BA9" w:rsidRPr="009A3BA9">
          <w:rPr>
            <w:rStyle w:val="Hyperlink"/>
            <w:rFonts w:eastAsia="Times New Roman"/>
          </w:rPr>
          <w:t>BOS Update No. 6</w:t>
        </w:r>
      </w:hyperlink>
      <w:r w:rsidR="005F0A01">
        <w:rPr>
          <w:rFonts w:eastAsia="Times New Roman"/>
        </w:rPr>
        <w:t xml:space="preserve">, </w:t>
      </w:r>
      <w:r>
        <w:rPr>
          <w:rFonts w:eastAsia="Times New Roman"/>
        </w:rPr>
        <w:t>and emails to accredited assessors</w:t>
      </w:r>
      <w:r w:rsidR="00033EAF">
        <w:rPr>
          <w:rFonts w:eastAsia="Times New Roman"/>
        </w:rPr>
        <w:t xml:space="preserve"> and</w:t>
      </w:r>
      <w:r>
        <w:rPr>
          <w:rFonts w:eastAsia="Times New Roman"/>
        </w:rPr>
        <w:t xml:space="preserve"> mailing list contacts.</w:t>
      </w:r>
    </w:p>
    <w:p w14:paraId="0F79C205" w14:textId="40328C97" w:rsidR="00D169D5" w:rsidRDefault="00D169D5" w:rsidP="00D169D5">
      <w:r>
        <w:t>In total, 270 bids offered more than 30,937 credits with a total price of over $1</w:t>
      </w:r>
      <w:r w:rsidRPr="00683364">
        <w:t>06</w:t>
      </w:r>
      <w:r>
        <w:t xml:space="preserve"> Million. Participants with </w:t>
      </w:r>
      <w:r w:rsidR="00033EAF">
        <w:t xml:space="preserve">existing credits </w:t>
      </w:r>
      <w:r>
        <w:t xml:space="preserve">accounted for 165 bids, while 105 bids contained credit offers from participants with </w:t>
      </w:r>
      <w:r w:rsidR="00033EAF">
        <w:t>proposed credits</w:t>
      </w:r>
      <w:r>
        <w:t>. 3</w:t>
      </w:r>
      <w:r w:rsidR="00DD1149">
        <w:t>6</w:t>
      </w:r>
      <w:r>
        <w:t xml:space="preserve"> bids did not proceed due to one or more of the eligibility criteria outlined in the </w:t>
      </w:r>
      <w:r w:rsidRPr="00DD1149">
        <w:t>Participants’ Guide</w:t>
      </w:r>
      <w:r w:rsidR="00DD1149">
        <w:t xml:space="preserve"> </w:t>
      </w:r>
      <w:r w:rsidR="002B1E7F">
        <w:t xml:space="preserve">not being satisfied </w:t>
      </w:r>
      <w:r w:rsidR="00DD1149">
        <w:t>and 1 bid was withdrawn by the applicant</w:t>
      </w:r>
      <w:r>
        <w:t>.</w:t>
      </w:r>
    </w:p>
    <w:p w14:paraId="4D14E9EB" w14:textId="77777777" w:rsidR="00D169D5" w:rsidRDefault="00D169D5" w:rsidP="00D169D5">
      <w:pPr>
        <w:rPr>
          <w:rFonts w:eastAsia="Times New Roman"/>
        </w:rPr>
      </w:pPr>
      <w:r w:rsidRPr="006D242B">
        <w:rPr>
          <w:rFonts w:eastAsia="Times New Roman"/>
        </w:rPr>
        <w:t>The BCT received 23</w:t>
      </w:r>
      <w:r>
        <w:rPr>
          <w:rFonts w:eastAsia="Times New Roman"/>
        </w:rPr>
        <w:t>3</w:t>
      </w:r>
      <w:r w:rsidRPr="006D242B">
        <w:rPr>
          <w:rFonts w:eastAsia="Times New Roman"/>
        </w:rPr>
        <w:t xml:space="preserve"> eligible bids, more than double the number of bids in the March 2022 Tender</w:t>
      </w:r>
      <w:r>
        <w:rPr>
          <w:rFonts w:eastAsia="Times New Roman"/>
        </w:rPr>
        <w:t>.</w:t>
      </w:r>
    </w:p>
    <w:p w14:paraId="365ECDBD" w14:textId="54A68CAB" w:rsidR="00D169D5" w:rsidRDefault="00D169D5" w:rsidP="00D169D5">
      <w:pPr>
        <w:rPr>
          <w:rFonts w:eastAsia="Times New Roman"/>
        </w:rPr>
      </w:pPr>
      <w:r w:rsidRPr="004624DF">
        <w:rPr>
          <w:rFonts w:eastAsia="Times New Roman"/>
        </w:rPr>
        <w:t xml:space="preserve">Credits were being sought for two programs, the BCT’s </w:t>
      </w:r>
      <w:r w:rsidR="00033EAF">
        <w:rPr>
          <w:rFonts w:eastAsia="Times New Roman"/>
        </w:rPr>
        <w:t>Biodiversity Offsets Program (</w:t>
      </w:r>
      <w:r w:rsidRPr="004624DF">
        <w:rPr>
          <w:rFonts w:eastAsia="Times New Roman"/>
        </w:rPr>
        <w:t>BOP</w:t>
      </w:r>
      <w:r w:rsidR="00033EAF">
        <w:rPr>
          <w:rFonts w:eastAsia="Times New Roman"/>
        </w:rPr>
        <w:t>)</w:t>
      </w:r>
      <w:r w:rsidRPr="004624DF">
        <w:rPr>
          <w:rFonts w:eastAsia="Times New Roman"/>
        </w:rPr>
        <w:t xml:space="preserve"> and the D</w:t>
      </w:r>
      <w:r>
        <w:rPr>
          <w:rFonts w:eastAsia="Times New Roman"/>
        </w:rPr>
        <w:t xml:space="preserve">epartment of Planning and Environment’s (DPE’s) </w:t>
      </w:r>
      <w:r w:rsidRPr="004624DF">
        <w:rPr>
          <w:rFonts w:eastAsia="Times New Roman"/>
        </w:rPr>
        <w:t xml:space="preserve">Koala Strategy. The BCT received 17 eligible bids for Koala credits. </w:t>
      </w:r>
      <w:r>
        <w:rPr>
          <w:rFonts w:eastAsia="Times New Roman"/>
        </w:rPr>
        <w:t>T</w:t>
      </w:r>
      <w:r w:rsidRPr="004624DF">
        <w:rPr>
          <w:rFonts w:eastAsia="Times New Roman"/>
        </w:rPr>
        <w:t xml:space="preserve">he BCT retained 5 bids </w:t>
      </w:r>
      <w:r>
        <w:rPr>
          <w:rFonts w:eastAsia="Times New Roman"/>
        </w:rPr>
        <w:t>and t</w:t>
      </w:r>
      <w:r w:rsidRPr="004624DF">
        <w:rPr>
          <w:rFonts w:eastAsia="Times New Roman"/>
        </w:rPr>
        <w:t>he remaining 12 bids were forwarded to DPE</w:t>
      </w:r>
      <w:r>
        <w:rPr>
          <w:rFonts w:eastAsia="Times New Roman"/>
        </w:rPr>
        <w:t xml:space="preserve">. </w:t>
      </w:r>
    </w:p>
    <w:p w14:paraId="6E079EAE" w14:textId="77777777" w:rsidR="00D169D5" w:rsidRDefault="00D169D5" w:rsidP="00D169D5">
      <w:pPr>
        <w:rPr>
          <w:b/>
          <w:bCs/>
        </w:rPr>
      </w:pPr>
      <w:r w:rsidRPr="004624DF">
        <w:rPr>
          <w:rFonts w:eastAsia="Times New Roman"/>
        </w:rPr>
        <w:t>In total, 22</w:t>
      </w:r>
      <w:r>
        <w:rPr>
          <w:rFonts w:eastAsia="Times New Roman"/>
        </w:rPr>
        <w:t>1</w:t>
      </w:r>
      <w:r w:rsidRPr="004624DF">
        <w:rPr>
          <w:rFonts w:eastAsia="Times New Roman"/>
        </w:rPr>
        <w:t xml:space="preserve"> eligible bids received for the BOP were subject to further evaluation.</w:t>
      </w:r>
    </w:p>
    <w:p w14:paraId="5CBCADF1" w14:textId="77777777" w:rsidR="00D169D5" w:rsidRDefault="00D169D5" w:rsidP="00D169D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Bid evaluation</w:t>
      </w:r>
    </w:p>
    <w:p w14:paraId="4D69E572" w14:textId="55826F9F" w:rsidR="00D169D5" w:rsidRPr="008C5564" w:rsidRDefault="00D169D5" w:rsidP="00D169D5">
      <w:r w:rsidRPr="008C5564">
        <w:rPr>
          <w:b/>
        </w:rPr>
        <w:t>Bids were not prioritised on price alone.</w:t>
      </w:r>
      <w:r>
        <w:t xml:space="preserve"> The BCT considered other factors </w:t>
      </w:r>
      <w:r w:rsidR="005F0A01">
        <w:t xml:space="preserve">in the ranking of bids that </w:t>
      </w:r>
      <w:r w:rsidR="007D4EEA">
        <w:t xml:space="preserve">provided </w:t>
      </w:r>
      <w:r w:rsidR="00033EAF">
        <w:t xml:space="preserve">conservation </w:t>
      </w:r>
      <w:proofErr w:type="gramStart"/>
      <w:r w:rsidR="00033EAF">
        <w:t xml:space="preserve">benefits, </w:t>
      </w:r>
      <w:r w:rsidR="007D4EEA">
        <w:t>or</w:t>
      </w:r>
      <w:proofErr w:type="gramEnd"/>
      <w:r w:rsidR="007D4EEA">
        <w:t xml:space="preserve"> reduced the BCT’s </w:t>
      </w:r>
      <w:r>
        <w:t>transaction timeframes and</w:t>
      </w:r>
      <w:r w:rsidR="00033EAF">
        <w:t xml:space="preserve"> risks</w:t>
      </w:r>
      <w:r>
        <w:t>.</w:t>
      </w:r>
    </w:p>
    <w:p w14:paraId="729419A8" w14:textId="77777777" w:rsidR="00D169D5" w:rsidRDefault="00D169D5" w:rsidP="00D169D5">
      <w:pPr>
        <w:pStyle w:val="Heading3"/>
        <w:rPr>
          <w:rFonts w:eastAsia="Times New Roman"/>
        </w:rPr>
      </w:pPr>
      <w:r>
        <w:rPr>
          <w:rFonts w:eastAsia="Times New Roman"/>
        </w:rPr>
        <w:t>Initial ranking of bids</w:t>
      </w:r>
    </w:p>
    <w:p w14:paraId="36A93AAB" w14:textId="37F24C16" w:rsidR="00D169D5" w:rsidRDefault="00D169D5" w:rsidP="00D169D5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Eligible bids were sorted into a ranked order based on cascading criteria summarised below and outlined in </w:t>
      </w:r>
      <w:r w:rsidR="00704A59">
        <w:rPr>
          <w:rFonts w:eastAsia="Times New Roman"/>
        </w:rPr>
        <w:t xml:space="preserve">section 6.3.3 of </w:t>
      </w:r>
      <w:r>
        <w:rPr>
          <w:rFonts w:eastAsia="Times New Roman"/>
        </w:rPr>
        <w:t xml:space="preserve">the </w:t>
      </w:r>
      <w:hyperlink r:id="rId16" w:anchor="securing_offsets_on_behalf_of_developers_1391" w:history="1">
        <w:r w:rsidR="00704A59" w:rsidRPr="00704A59">
          <w:rPr>
            <w:rStyle w:val="Hyperlink"/>
            <w:rFonts w:eastAsia="Times New Roman"/>
          </w:rPr>
          <w:t>Participants Guide</w:t>
        </w:r>
      </w:hyperlink>
      <w:r w:rsidR="00704A59">
        <w:rPr>
          <w:rFonts w:eastAsia="Times New Roman"/>
        </w:rPr>
        <w:t xml:space="preserve"> (refer to tender tab)</w:t>
      </w:r>
      <w:r>
        <w:rPr>
          <w:rFonts w:eastAsia="Times New Roman"/>
        </w:rPr>
        <w:t>:</w:t>
      </w:r>
    </w:p>
    <w:p w14:paraId="153C76AF" w14:textId="77777777" w:rsidR="00D169D5" w:rsidRPr="00D169D5" w:rsidRDefault="00D169D5" w:rsidP="00D169D5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eastAsia="Times New Roman"/>
        </w:rPr>
      </w:pPr>
      <w:bookmarkStart w:id="3" w:name="_Hlk129674988"/>
      <w:r w:rsidRPr="00D169D5">
        <w:rPr>
          <w:rFonts w:eastAsia="Times New Roman"/>
        </w:rPr>
        <w:t>Bids in the</w:t>
      </w:r>
      <w:r w:rsidRPr="00D169D5">
        <w:rPr>
          <w:rFonts w:eastAsia="Times New Roman"/>
          <w:b/>
        </w:rPr>
        <w:t xml:space="preserve"> lowest-price band </w:t>
      </w:r>
      <w:r w:rsidRPr="00D169D5">
        <w:rPr>
          <w:rFonts w:eastAsia="Times New Roman"/>
        </w:rPr>
        <w:t xml:space="preserve">were prioritised over bids in a higher-priced band.  </w:t>
      </w:r>
    </w:p>
    <w:p w14:paraId="4BA1D2C4" w14:textId="77777777" w:rsidR="00D169D5" w:rsidRPr="00D169D5" w:rsidRDefault="00D169D5" w:rsidP="00D169D5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eastAsia="Times New Roman"/>
        </w:rPr>
      </w:pPr>
      <w:r w:rsidRPr="00D169D5">
        <w:rPr>
          <w:rFonts w:eastAsia="Times New Roman"/>
        </w:rPr>
        <w:t>Bids for</w:t>
      </w:r>
      <w:r w:rsidRPr="00D169D5">
        <w:rPr>
          <w:rFonts w:eastAsia="Times New Roman"/>
          <w:b/>
        </w:rPr>
        <w:t xml:space="preserve"> existing credits </w:t>
      </w:r>
      <w:r w:rsidRPr="00D169D5">
        <w:rPr>
          <w:rFonts w:eastAsia="Times New Roman"/>
        </w:rPr>
        <w:t xml:space="preserve">were prioritised over proposed credits. </w:t>
      </w:r>
    </w:p>
    <w:p w14:paraId="1A1F9614" w14:textId="77777777" w:rsidR="00D169D5" w:rsidRPr="00D169D5" w:rsidRDefault="00D169D5" w:rsidP="00D169D5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eastAsia="Times New Roman"/>
        </w:rPr>
      </w:pPr>
      <w:r w:rsidRPr="00D169D5">
        <w:rPr>
          <w:rFonts w:eastAsia="Times New Roman"/>
        </w:rPr>
        <w:t xml:space="preserve">Bids with the </w:t>
      </w:r>
      <w:r w:rsidRPr="00D169D5">
        <w:rPr>
          <w:rFonts w:eastAsia="Times New Roman"/>
          <w:b/>
        </w:rPr>
        <w:t>higher number of offered credits</w:t>
      </w:r>
      <w:r w:rsidRPr="00D169D5">
        <w:rPr>
          <w:rFonts w:eastAsia="Times New Roman"/>
        </w:rPr>
        <w:t xml:space="preserve"> for the credit class were prioritised. </w:t>
      </w:r>
    </w:p>
    <w:p w14:paraId="48CD2DD2" w14:textId="77777777" w:rsidR="00D169D5" w:rsidRPr="00D169D5" w:rsidRDefault="00D169D5" w:rsidP="00D169D5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eastAsia="Times New Roman"/>
        </w:rPr>
      </w:pPr>
      <w:r w:rsidRPr="00D169D5">
        <w:rPr>
          <w:rFonts w:eastAsia="Times New Roman"/>
        </w:rPr>
        <w:t xml:space="preserve">Bids from sites in </w:t>
      </w:r>
      <w:r w:rsidRPr="00D169D5">
        <w:rPr>
          <w:rFonts w:eastAsia="Times New Roman"/>
          <w:b/>
        </w:rPr>
        <w:t>passive management</w:t>
      </w:r>
      <w:r w:rsidRPr="00D169D5">
        <w:rPr>
          <w:rFonts w:eastAsia="Times New Roman"/>
        </w:rPr>
        <w:t xml:space="preserve">, with a </w:t>
      </w:r>
      <w:r w:rsidRPr="00D169D5">
        <w:rPr>
          <w:rFonts w:eastAsia="Times New Roman"/>
          <w:b/>
        </w:rPr>
        <w:t>higher percentage of the Total Fund Deposit satisfied</w:t>
      </w:r>
      <w:r w:rsidRPr="00D169D5">
        <w:rPr>
          <w:rFonts w:eastAsia="Times New Roman"/>
        </w:rPr>
        <w:t xml:space="preserve"> were prioritised. </w:t>
      </w:r>
    </w:p>
    <w:p w14:paraId="02639FBE" w14:textId="77777777" w:rsidR="00D169D5" w:rsidRPr="00D169D5" w:rsidRDefault="00D169D5" w:rsidP="00D169D5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eastAsia="Times New Roman"/>
        </w:rPr>
      </w:pPr>
      <w:r w:rsidRPr="00D169D5">
        <w:rPr>
          <w:rFonts w:eastAsia="Times New Roman"/>
        </w:rPr>
        <w:t xml:space="preserve">Bids from sites in </w:t>
      </w:r>
      <w:r w:rsidRPr="00D169D5">
        <w:rPr>
          <w:rFonts w:eastAsia="Times New Roman"/>
          <w:b/>
        </w:rPr>
        <w:t>active management</w:t>
      </w:r>
      <w:r w:rsidRPr="00D169D5">
        <w:rPr>
          <w:rFonts w:eastAsia="Times New Roman"/>
        </w:rPr>
        <w:t xml:space="preserve">, with an </w:t>
      </w:r>
      <w:r w:rsidRPr="00D169D5">
        <w:rPr>
          <w:rFonts w:eastAsia="Times New Roman"/>
          <w:b/>
        </w:rPr>
        <w:t>earlier establishment date</w:t>
      </w:r>
      <w:r w:rsidRPr="00D169D5">
        <w:rPr>
          <w:rFonts w:eastAsia="Times New Roman"/>
        </w:rPr>
        <w:t xml:space="preserve"> were prioritised. </w:t>
      </w:r>
    </w:p>
    <w:p w14:paraId="42F3F651" w14:textId="77777777" w:rsidR="00D169D5" w:rsidRPr="00D169D5" w:rsidRDefault="00D169D5" w:rsidP="00D169D5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eastAsia="Times New Roman"/>
        </w:rPr>
      </w:pPr>
      <w:r w:rsidRPr="00D169D5">
        <w:rPr>
          <w:rFonts w:eastAsia="Times New Roman"/>
        </w:rPr>
        <w:t xml:space="preserve">If two or more bids were received with the same price for </w:t>
      </w:r>
      <w:r w:rsidRPr="00D169D5">
        <w:rPr>
          <w:rFonts w:eastAsia="Times New Roman"/>
          <w:b/>
        </w:rPr>
        <w:t>proposed credits</w:t>
      </w:r>
      <w:r w:rsidRPr="00D169D5">
        <w:rPr>
          <w:rFonts w:eastAsia="Times New Roman"/>
        </w:rPr>
        <w:t xml:space="preserve">, then priority was given to the </w:t>
      </w:r>
      <w:r w:rsidRPr="00D169D5">
        <w:rPr>
          <w:rFonts w:eastAsia="Times New Roman"/>
          <w:b/>
        </w:rPr>
        <w:t>more progressed proposed sites</w:t>
      </w:r>
      <w:r w:rsidRPr="00D169D5">
        <w:rPr>
          <w:rFonts w:eastAsia="Times New Roman"/>
        </w:rPr>
        <w:t xml:space="preserve">. Credits with a submitted BSA application were prioritised over credits with a Draft Biodiversity Stewardship Site Assessment </w:t>
      </w:r>
      <w:proofErr w:type="gramStart"/>
      <w:r w:rsidRPr="00D169D5">
        <w:rPr>
          <w:rFonts w:eastAsia="Times New Roman"/>
        </w:rPr>
        <w:t>Report  (</w:t>
      </w:r>
      <w:proofErr w:type="gramEnd"/>
      <w:r w:rsidRPr="00D169D5">
        <w:rPr>
          <w:rFonts w:eastAsia="Times New Roman"/>
        </w:rPr>
        <w:t xml:space="preserve">with full plot data), and then a business case. </w:t>
      </w:r>
    </w:p>
    <w:p w14:paraId="243D6768" w14:textId="77777777" w:rsidR="00D169D5" w:rsidRPr="00D169D5" w:rsidRDefault="00D169D5" w:rsidP="00D169D5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eastAsia="Times New Roman"/>
        </w:rPr>
      </w:pPr>
      <w:r w:rsidRPr="00D169D5">
        <w:rPr>
          <w:rFonts w:eastAsia="Times New Roman"/>
        </w:rPr>
        <w:t xml:space="preserve">If two or more bids for proposed credits had the same ranking in 6), then bids with the </w:t>
      </w:r>
      <w:r w:rsidRPr="00D169D5">
        <w:rPr>
          <w:rFonts w:eastAsia="Times New Roman"/>
          <w:b/>
        </w:rPr>
        <w:t>higher number of offered credits</w:t>
      </w:r>
      <w:r w:rsidRPr="00D169D5">
        <w:rPr>
          <w:rFonts w:eastAsia="Times New Roman"/>
        </w:rPr>
        <w:t xml:space="preserve"> for the credit class, up to the number wanted by the BCT, were prioritised over less credits.</w:t>
      </w:r>
    </w:p>
    <w:bookmarkEnd w:id="3"/>
    <w:p w14:paraId="5C9CE546" w14:textId="77777777" w:rsidR="00D169D5" w:rsidRDefault="00D169D5" w:rsidP="00D169D5">
      <w:pPr>
        <w:pStyle w:val="Heading3"/>
        <w:rPr>
          <w:rFonts w:eastAsia="Times New Roman"/>
        </w:rPr>
      </w:pPr>
      <w:r>
        <w:rPr>
          <w:rFonts w:eastAsia="Times New Roman"/>
        </w:rPr>
        <w:t>Evaluation Panel assessment</w:t>
      </w:r>
    </w:p>
    <w:p w14:paraId="0A149CA7" w14:textId="6B2C68C9" w:rsidR="00D169D5" w:rsidRDefault="00D169D5" w:rsidP="00D169D5">
      <w:pPr>
        <w:rPr>
          <w:rFonts w:eastAsia="Times New Roman"/>
        </w:rPr>
      </w:pPr>
      <w:r w:rsidRPr="00DD4492">
        <w:rPr>
          <w:rFonts w:eastAsia="Times New Roman"/>
        </w:rPr>
        <w:t>The BCT Chief Executive</w:t>
      </w:r>
      <w:r w:rsidR="009D655F">
        <w:rPr>
          <w:rFonts w:eastAsia="Times New Roman"/>
        </w:rPr>
        <w:t xml:space="preserve"> Officer</w:t>
      </w:r>
      <w:r w:rsidRPr="00DD4492">
        <w:rPr>
          <w:rFonts w:eastAsia="Times New Roman"/>
        </w:rPr>
        <w:t xml:space="preserve"> established the </w:t>
      </w:r>
      <w:r w:rsidR="007D4EEA" w:rsidRPr="00DD4492">
        <w:rPr>
          <w:rFonts w:eastAsia="Times New Roman"/>
        </w:rPr>
        <w:t xml:space="preserve">tender </w:t>
      </w:r>
      <w:r w:rsidRPr="00DD4492">
        <w:rPr>
          <w:rFonts w:eastAsia="Times New Roman"/>
        </w:rPr>
        <w:t xml:space="preserve">Evaluation Panel (the Panel) to provide independent advice on the review of </w:t>
      </w:r>
      <w:r w:rsidR="007D4EEA">
        <w:rPr>
          <w:rFonts w:eastAsia="Times New Roman"/>
        </w:rPr>
        <w:t>t</w:t>
      </w:r>
      <w:r w:rsidR="007D4EEA" w:rsidRPr="00DD4492">
        <w:rPr>
          <w:rFonts w:eastAsia="Times New Roman"/>
        </w:rPr>
        <w:t xml:space="preserve">ender </w:t>
      </w:r>
      <w:r w:rsidRPr="00DD4492">
        <w:rPr>
          <w:rFonts w:eastAsia="Times New Roman"/>
        </w:rPr>
        <w:t>bids.</w:t>
      </w:r>
      <w:r>
        <w:t xml:space="preserve"> </w:t>
      </w:r>
      <w:r w:rsidRPr="00DD4492">
        <w:rPr>
          <w:rFonts w:eastAsia="Times New Roman"/>
        </w:rPr>
        <w:t>The Panel meeting occurred on 3 November 2022</w:t>
      </w:r>
      <w:r>
        <w:rPr>
          <w:rFonts w:eastAsia="Times New Roman"/>
        </w:rPr>
        <w:t xml:space="preserve"> and was observed by a</w:t>
      </w:r>
      <w:r w:rsidRPr="00DD4492">
        <w:rPr>
          <w:rFonts w:eastAsia="Times New Roman"/>
        </w:rPr>
        <w:t>n independent probity advisor</w:t>
      </w:r>
      <w:r>
        <w:rPr>
          <w:rFonts w:eastAsia="Times New Roman"/>
        </w:rPr>
        <w:t>.</w:t>
      </w:r>
    </w:p>
    <w:p w14:paraId="53CA6D90" w14:textId="77777777" w:rsidR="00D169D5" w:rsidRDefault="00D169D5" w:rsidP="00D169D5">
      <w:r>
        <w:rPr>
          <w:rFonts w:eastAsia="Times New Roman"/>
        </w:rPr>
        <w:t xml:space="preserve">The Panel reviewed the bid rankings and made recommendations to the BCT on the bids that </w:t>
      </w:r>
      <w:proofErr w:type="gramStart"/>
      <w:r>
        <w:rPr>
          <w:rFonts w:eastAsia="Times New Roman"/>
        </w:rPr>
        <w:t>were considered to be</w:t>
      </w:r>
      <w:proofErr w:type="gramEnd"/>
      <w:r>
        <w:rPr>
          <w:rFonts w:eastAsia="Times New Roman"/>
        </w:rPr>
        <w:t xml:space="preserve"> ‘value for money’. </w:t>
      </w:r>
      <w:bookmarkStart w:id="4" w:name="_Hlk126080377"/>
      <w:r>
        <w:t>T</w:t>
      </w:r>
      <w:r>
        <w:rPr>
          <w:rFonts w:eastAsia="Times New Roman"/>
        </w:rPr>
        <w:t xml:space="preserve">he Panel evaluated </w:t>
      </w:r>
      <w:bookmarkEnd w:id="4"/>
      <w:r>
        <w:rPr>
          <w:rFonts w:eastAsia="Times New Roman"/>
        </w:rPr>
        <w:t>e</w:t>
      </w:r>
      <w:r>
        <w:t>ligible bids against criteria including:</w:t>
      </w:r>
    </w:p>
    <w:p w14:paraId="17D9FE50" w14:textId="77777777" w:rsidR="00D169D5" w:rsidRDefault="00D169D5" w:rsidP="00D169D5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>
        <w:t>price competitiveness</w:t>
      </w:r>
    </w:p>
    <w:p w14:paraId="20FE041A" w14:textId="77777777" w:rsidR="00D169D5" w:rsidRDefault="00D169D5" w:rsidP="00D169D5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>
        <w:t>number of credits</w:t>
      </w:r>
    </w:p>
    <w:p w14:paraId="4BF02665" w14:textId="77777777" w:rsidR="00D169D5" w:rsidRDefault="00D169D5" w:rsidP="00D169D5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>
        <w:t>past market sales</w:t>
      </w:r>
    </w:p>
    <w:p w14:paraId="56FDDF6F" w14:textId="77777777" w:rsidR="00D169D5" w:rsidRPr="006D242B" w:rsidRDefault="00D169D5" w:rsidP="00D169D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eastAsia="Times New Roman"/>
        </w:rPr>
      </w:pPr>
      <w:r w:rsidRPr="006D242B">
        <w:rPr>
          <w:rFonts w:eastAsia="Times New Roman"/>
        </w:rPr>
        <w:t>recent trade dat</w:t>
      </w:r>
      <w:r>
        <w:rPr>
          <w:rFonts w:eastAsia="Times New Roman"/>
        </w:rPr>
        <w:t>a</w:t>
      </w:r>
    </w:p>
    <w:p w14:paraId="647190FF" w14:textId="77777777" w:rsidR="00D169D5" w:rsidRDefault="00D169D5" w:rsidP="00D169D5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6D242B">
        <w:rPr>
          <w:rFonts w:eastAsia="Times New Roman"/>
        </w:rPr>
        <w:t>credit availabilit</w:t>
      </w:r>
      <w:r>
        <w:t>y</w:t>
      </w:r>
    </w:p>
    <w:p w14:paraId="73D46126" w14:textId="77777777" w:rsidR="00D169D5" w:rsidRPr="006D242B" w:rsidRDefault="00D169D5" w:rsidP="00D169D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eastAsia="Times New Roman"/>
        </w:rPr>
      </w:pPr>
      <w:r w:rsidRPr="006D242B">
        <w:rPr>
          <w:rFonts w:eastAsia="Times New Roman"/>
        </w:rPr>
        <w:t>price paid into the BCF</w:t>
      </w:r>
    </w:p>
    <w:p w14:paraId="359FD8D4" w14:textId="77777777" w:rsidR="00D169D5" w:rsidRPr="006D242B" w:rsidRDefault="00D169D5" w:rsidP="00D169D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eastAsia="Times New Roman"/>
        </w:rPr>
      </w:pPr>
      <w:r w:rsidRPr="006D242B">
        <w:rPr>
          <w:rFonts w:eastAsia="Times New Roman"/>
        </w:rPr>
        <w:t>time BCT obligations have been hel</w:t>
      </w:r>
      <w:r>
        <w:rPr>
          <w:rFonts w:eastAsia="Times New Roman"/>
        </w:rPr>
        <w:t>d</w:t>
      </w:r>
      <w:r w:rsidRPr="006D242B">
        <w:rPr>
          <w:rFonts w:eastAsia="Times New Roman"/>
        </w:rPr>
        <w:t xml:space="preserve"> </w:t>
      </w:r>
    </w:p>
    <w:p w14:paraId="5EF21FAD" w14:textId="1871EB54" w:rsidR="00D169D5" w:rsidRDefault="005F0A01" w:rsidP="00D169D5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>
        <w:t>t</w:t>
      </w:r>
      <w:r w:rsidR="00D169D5">
        <w:t xml:space="preserve">ransaction timeframes and </w:t>
      </w:r>
    </w:p>
    <w:p w14:paraId="76DE194F" w14:textId="2B86E48F" w:rsidR="00D169D5" w:rsidRPr="00B65996" w:rsidRDefault="00D169D5" w:rsidP="00017DB7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>
        <w:t>conservation benefits.</w:t>
      </w:r>
    </w:p>
    <w:p w14:paraId="417DF1D2" w14:textId="10C0E480" w:rsidR="00D169D5" w:rsidRDefault="00004E21" w:rsidP="00D169D5">
      <w:pPr>
        <w:pStyle w:val="Heading3"/>
      </w:pPr>
      <w:r>
        <w:t>P</w:t>
      </w:r>
      <w:r w:rsidR="00D169D5">
        <w:t>robity procedures</w:t>
      </w:r>
    </w:p>
    <w:p w14:paraId="44F5BD59" w14:textId="60A45694" w:rsidR="00D169D5" w:rsidRDefault="00D169D5" w:rsidP="00D169D5">
      <w:r>
        <w:t xml:space="preserve">As outlined in the Participants’ Guide, </w:t>
      </w:r>
      <w:r w:rsidR="007D4EEA">
        <w:t xml:space="preserve">each </w:t>
      </w:r>
      <w:r>
        <w:t xml:space="preserve">bid was assigned a unique, generic identification number enabling personal information to be removed during the evaluation process. </w:t>
      </w:r>
    </w:p>
    <w:p w14:paraId="226DE2EA" w14:textId="7E021689" w:rsidR="00D169D5" w:rsidRDefault="00D169D5" w:rsidP="00D169D5">
      <w:pPr>
        <w:rPr>
          <w:rFonts w:eastAsia="Times New Roman"/>
        </w:rPr>
      </w:pPr>
      <w:r w:rsidRPr="00274740">
        <w:t xml:space="preserve">Applicants, BCT staff, Board members, Panel members and any contractors involved in the delivery of the </w:t>
      </w:r>
      <w:r w:rsidR="007D4EEA" w:rsidRPr="00274740">
        <w:t xml:space="preserve">tender </w:t>
      </w:r>
      <w:r w:rsidRPr="00274740">
        <w:t>were required to declare any conflicts of interest. Declarations have been recorded and assessed by the Panel and independent probity advisor</w:t>
      </w:r>
      <w:r>
        <w:t xml:space="preserve"> and managed accordingly</w:t>
      </w:r>
      <w:r w:rsidRPr="00274740">
        <w:t xml:space="preserve">. </w:t>
      </w:r>
    </w:p>
    <w:p w14:paraId="6CA6EDD7" w14:textId="77777777" w:rsidR="00D169D5" w:rsidRDefault="00D169D5" w:rsidP="00D169D5">
      <w:pPr>
        <w:pStyle w:val="Heading1"/>
      </w:pPr>
      <w:bookmarkStart w:id="5" w:name="_Toc130995847"/>
      <w:r>
        <w:lastRenderedPageBreak/>
        <w:t>Tender Outcomes</w:t>
      </w:r>
      <w:bookmarkEnd w:id="5"/>
    </w:p>
    <w:p w14:paraId="5AFF5235" w14:textId="4F442256" w:rsidR="00D169D5" w:rsidRDefault="00D169D5" w:rsidP="00D169D5">
      <w:r w:rsidRPr="006F63E4">
        <w:t xml:space="preserve">The Panel recommended that 158 bids be accepted as </w:t>
      </w:r>
      <w:r w:rsidR="005F0A01">
        <w:t>‘value for money’</w:t>
      </w:r>
      <w:r w:rsidRPr="006F63E4">
        <w:t xml:space="preserve"> and the</w:t>
      </w:r>
      <w:r>
        <w:t xml:space="preserve"> remaining 6</w:t>
      </w:r>
      <w:r w:rsidR="00DD1149">
        <w:t>3</w:t>
      </w:r>
      <w:r>
        <w:t xml:space="preserve"> bids not be accepted as </w:t>
      </w:r>
      <w:r w:rsidR="005F0A01">
        <w:t>‘value for money’</w:t>
      </w:r>
      <w:r>
        <w:t xml:space="preserve">. The BCT made offers to purchase 88 </w:t>
      </w:r>
      <w:r w:rsidR="005F0A01">
        <w:t>‘value for money’</w:t>
      </w:r>
      <w:r>
        <w:t xml:space="preserve"> bids in prioritised order until either:</w:t>
      </w:r>
    </w:p>
    <w:p w14:paraId="100193E6" w14:textId="77777777" w:rsidR="00D169D5" w:rsidRDefault="00D169D5" w:rsidP="00D87AEA">
      <w:pPr>
        <w:pStyle w:val="ListParagraph"/>
        <w:numPr>
          <w:ilvl w:val="0"/>
          <w:numId w:val="33"/>
        </w:numPr>
        <w:spacing w:line="240" w:lineRule="auto"/>
        <w:ind w:left="714" w:hanging="357"/>
      </w:pPr>
      <w:r>
        <w:t>all wanted credits for a credit class were obtained through committed purchases, or</w:t>
      </w:r>
    </w:p>
    <w:p w14:paraId="27938D76" w14:textId="77777777" w:rsidR="00D169D5" w:rsidRDefault="00D169D5" w:rsidP="00D87AEA">
      <w:pPr>
        <w:pStyle w:val="ListParagraph"/>
        <w:numPr>
          <w:ilvl w:val="0"/>
          <w:numId w:val="33"/>
        </w:numPr>
        <w:spacing w:line="240" w:lineRule="auto"/>
        <w:ind w:left="714" w:hanging="357"/>
        <w:contextualSpacing w:val="0"/>
      </w:pPr>
      <w:r>
        <w:t>the available budget was exhausted.</w:t>
      </w:r>
    </w:p>
    <w:p w14:paraId="36BA61F4" w14:textId="4FC5BBE9" w:rsidR="00D169D5" w:rsidRDefault="00D169D5" w:rsidP="00D169D5">
      <w:r>
        <w:t xml:space="preserve">Attachment </w:t>
      </w:r>
      <w:r w:rsidR="00981F6D">
        <w:t xml:space="preserve">A </w:t>
      </w:r>
      <w:r>
        <w:t>shows the outcomes of the 221 eligible bids received for 5</w:t>
      </w:r>
      <w:r w:rsidR="00977C84">
        <w:t>5</w:t>
      </w:r>
      <w:r>
        <w:t xml:space="preserve"> Offset Trading Groups including 88 accepted bids BCT offered to purchase. It includes the:</w:t>
      </w:r>
    </w:p>
    <w:p w14:paraId="274C98A5" w14:textId="77777777" w:rsidR="00D169D5" w:rsidRDefault="00D169D5" w:rsidP="009A3BA9">
      <w:pPr>
        <w:pStyle w:val="ListParagraph"/>
        <w:numPr>
          <w:ilvl w:val="0"/>
          <w:numId w:val="33"/>
        </w:numPr>
        <w:spacing w:line="240" w:lineRule="auto"/>
        <w:ind w:left="714" w:hanging="357"/>
      </w:pPr>
      <w:r>
        <w:t>Offset Trading Group for ecosystem and species credits</w:t>
      </w:r>
    </w:p>
    <w:p w14:paraId="59F8F518" w14:textId="7284BB20" w:rsidR="00D169D5" w:rsidRDefault="00D169D5" w:rsidP="009A3BA9">
      <w:pPr>
        <w:pStyle w:val="ListParagraph"/>
        <w:numPr>
          <w:ilvl w:val="0"/>
          <w:numId w:val="33"/>
        </w:numPr>
        <w:spacing w:line="240" w:lineRule="auto"/>
        <w:ind w:left="714" w:hanging="357"/>
      </w:pPr>
      <w:r>
        <w:t xml:space="preserve">the number of bids and credits </w:t>
      </w:r>
      <w:r w:rsidR="002B1E7F">
        <w:t xml:space="preserve">the </w:t>
      </w:r>
      <w:r>
        <w:t>BCT accepted and offered to purchase</w:t>
      </w:r>
    </w:p>
    <w:p w14:paraId="3EDF90DB" w14:textId="77777777" w:rsidR="00D169D5" w:rsidRDefault="00D169D5" w:rsidP="009A3BA9">
      <w:pPr>
        <w:pStyle w:val="ListParagraph"/>
        <w:numPr>
          <w:ilvl w:val="0"/>
          <w:numId w:val="33"/>
        </w:numPr>
        <w:spacing w:line="240" w:lineRule="auto"/>
        <w:ind w:left="714" w:hanging="357"/>
      </w:pPr>
      <w:r>
        <w:t>the number of bids and credits not accepted and</w:t>
      </w:r>
    </w:p>
    <w:p w14:paraId="21C4F40F" w14:textId="77777777" w:rsidR="00D169D5" w:rsidRDefault="00D169D5" w:rsidP="009A3BA9">
      <w:pPr>
        <w:pStyle w:val="ListParagraph"/>
        <w:numPr>
          <w:ilvl w:val="0"/>
          <w:numId w:val="33"/>
        </w:numPr>
        <w:spacing w:line="240" w:lineRule="auto"/>
        <w:ind w:left="714" w:hanging="357"/>
      </w:pPr>
      <w:r>
        <w:t>the total number of bid credits.</w:t>
      </w:r>
    </w:p>
    <w:p w14:paraId="059AA962" w14:textId="79B224F1" w:rsidR="005F0A01" w:rsidRDefault="00D169D5" w:rsidP="005F0A01">
      <w:r>
        <w:t xml:space="preserve">It is important to note that </w:t>
      </w:r>
      <w:r w:rsidRPr="000D28D8">
        <w:rPr>
          <w:b/>
          <w:color w:val="373737" w:themeColor="text1"/>
        </w:rPr>
        <w:t xml:space="preserve">not all bids accepted by </w:t>
      </w:r>
      <w:r w:rsidR="002B1E7F">
        <w:rPr>
          <w:b/>
          <w:color w:val="373737" w:themeColor="text1"/>
        </w:rPr>
        <w:t xml:space="preserve">the </w:t>
      </w:r>
      <w:r w:rsidRPr="000D28D8">
        <w:rPr>
          <w:b/>
          <w:color w:val="373737" w:themeColor="text1"/>
        </w:rPr>
        <w:t>BCT proceed successfully to a credit purchase</w:t>
      </w:r>
      <w:r>
        <w:t xml:space="preserve">. </w:t>
      </w:r>
      <w:r w:rsidR="00D87AEA">
        <w:t>The r</w:t>
      </w:r>
      <w:r>
        <w:t>easons for this can include</w:t>
      </w:r>
      <w:r w:rsidR="005F0A01">
        <w:t xml:space="preserve"> the credit owner not proceeding with the purchase, or the </w:t>
      </w:r>
      <w:r w:rsidR="005F0A01" w:rsidRPr="000316C8">
        <w:rPr>
          <w:bCs/>
        </w:rPr>
        <w:t xml:space="preserve">Total Fund Deposit </w:t>
      </w:r>
      <w:r w:rsidR="00796F53">
        <w:rPr>
          <w:bCs/>
        </w:rPr>
        <w:t xml:space="preserve">(TFD) </w:t>
      </w:r>
      <w:r w:rsidR="005F0A01">
        <w:rPr>
          <w:bCs/>
        </w:rPr>
        <w:t xml:space="preserve">requirements </w:t>
      </w:r>
      <w:r w:rsidR="005F0A01" w:rsidRPr="000316C8">
        <w:rPr>
          <w:bCs/>
        </w:rPr>
        <w:t xml:space="preserve">(s6.21 of the BC Act) or other requirements </w:t>
      </w:r>
      <w:r w:rsidR="005F0A01">
        <w:rPr>
          <w:bCs/>
        </w:rPr>
        <w:t xml:space="preserve">not being </w:t>
      </w:r>
      <w:r w:rsidR="005F0A01" w:rsidRPr="000316C8">
        <w:rPr>
          <w:bCs/>
        </w:rPr>
        <w:t>met</w:t>
      </w:r>
      <w:r w:rsidR="005F0A01">
        <w:rPr>
          <w:bCs/>
        </w:rPr>
        <w:t>.</w:t>
      </w:r>
    </w:p>
    <w:p w14:paraId="764F5EE3" w14:textId="0FFEAB72" w:rsidR="00D169D5" w:rsidRDefault="00D169D5" w:rsidP="00D169D5">
      <w:pPr>
        <w:pStyle w:val="Heading2"/>
      </w:pPr>
      <w:r>
        <w:t xml:space="preserve">Tender Outcomes Summary - Bids accepted by </w:t>
      </w:r>
      <w:r w:rsidR="007E3E69">
        <w:t xml:space="preserve">the </w:t>
      </w:r>
      <w:r>
        <w:t>BCT</w:t>
      </w:r>
    </w:p>
    <w:p w14:paraId="5DF82712" w14:textId="427B7187" w:rsidR="00D169D5" w:rsidRPr="00302385" w:rsidRDefault="005F0A01" w:rsidP="00D169D5">
      <w:pPr>
        <w:rPr>
          <w:rFonts w:eastAsia="Times New Roman"/>
        </w:rPr>
      </w:pPr>
      <w:r>
        <w:t xml:space="preserve">Based on the recommendations of </w:t>
      </w:r>
      <w:r w:rsidR="00D169D5">
        <w:t xml:space="preserve">the independent </w:t>
      </w:r>
      <w:r>
        <w:t xml:space="preserve">tender </w:t>
      </w:r>
      <w:r w:rsidR="00D169D5">
        <w:t xml:space="preserve">Evaluation Panel, the BCT made offers to purchase 7,073 credits from 88 bids for $19.8 </w:t>
      </w:r>
      <w:r>
        <w:t>million</w:t>
      </w:r>
      <w:r w:rsidR="00D169D5">
        <w:t>.</w:t>
      </w:r>
      <w:r w:rsidR="00D169D5" w:rsidRPr="00302385">
        <w:rPr>
          <w:rFonts w:eastAsia="Times New Roman"/>
          <w:highlight w:val="yellow"/>
        </w:rPr>
        <w:t xml:space="preserve"> </w:t>
      </w:r>
    </w:p>
    <w:p w14:paraId="13FFBA14" w14:textId="3E4015E3" w:rsidR="00D169D5" w:rsidRDefault="00D169D5" w:rsidP="00D169D5">
      <w:r>
        <w:t xml:space="preserve">Table 1 outlines the number and cost of ecosystem and species credit bids </w:t>
      </w:r>
      <w:r w:rsidR="005F0A01">
        <w:t xml:space="preserve">that the </w:t>
      </w:r>
      <w:r>
        <w:t xml:space="preserve">BCT offered to purchase. </w:t>
      </w:r>
    </w:p>
    <w:p w14:paraId="54925141" w14:textId="3803EC03" w:rsidR="00D169D5" w:rsidRPr="005F0A01" w:rsidRDefault="00D169D5" w:rsidP="009A3BA9">
      <w:pPr>
        <w:spacing w:after="120"/>
        <w:rPr>
          <w:b/>
        </w:rPr>
      </w:pPr>
      <w:r w:rsidRPr="005F0A01">
        <w:rPr>
          <w:b/>
          <w:bCs/>
        </w:rPr>
        <w:t>Table 1</w:t>
      </w:r>
      <w:r w:rsidR="005F0A01">
        <w:rPr>
          <w:b/>
          <w:bCs/>
        </w:rPr>
        <w:tab/>
      </w:r>
      <w:r w:rsidR="005F0A01">
        <w:rPr>
          <w:b/>
          <w:bCs/>
        </w:rPr>
        <w:tab/>
      </w:r>
      <w:r w:rsidRPr="005F0A01">
        <w:rPr>
          <w:b/>
        </w:rPr>
        <w:t xml:space="preserve">Bids accepted </w:t>
      </w:r>
      <w:r w:rsidR="00796F53">
        <w:rPr>
          <w:b/>
        </w:rPr>
        <w:t xml:space="preserve">and receiving offers from the </w:t>
      </w:r>
      <w:r w:rsidRPr="005F0A01">
        <w:rPr>
          <w:b/>
        </w:rPr>
        <w:t>BCT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D169D5" w:rsidRPr="005F0A01" w14:paraId="1F135E71" w14:textId="77777777" w:rsidTr="005F0A01"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0C44091A" w14:textId="77777777" w:rsidR="00D169D5" w:rsidRPr="005F0A01" w:rsidRDefault="00D169D5" w:rsidP="00D87AEA">
            <w:pPr>
              <w:spacing w:before="60" w:after="60"/>
              <w:rPr>
                <w:b/>
                <w:szCs w:val="20"/>
              </w:rPr>
            </w:pPr>
            <w:r w:rsidRPr="005F0A01">
              <w:rPr>
                <w:b/>
                <w:szCs w:val="20"/>
              </w:rPr>
              <w:t>Credit Type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291DDFCC" w14:textId="77777777" w:rsidR="00D169D5" w:rsidRPr="005F0A01" w:rsidRDefault="00D169D5" w:rsidP="005F0A01">
            <w:pPr>
              <w:spacing w:before="60" w:after="60"/>
              <w:jc w:val="center"/>
              <w:rPr>
                <w:b/>
                <w:szCs w:val="20"/>
              </w:rPr>
            </w:pPr>
            <w:r w:rsidRPr="005F0A01">
              <w:rPr>
                <w:b/>
                <w:szCs w:val="20"/>
              </w:rPr>
              <w:t>Number of BAM Credits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A1F552B" w14:textId="77777777" w:rsidR="00D169D5" w:rsidRPr="005F0A01" w:rsidRDefault="00D169D5" w:rsidP="005F0A01">
            <w:pPr>
              <w:spacing w:before="60" w:after="60"/>
              <w:jc w:val="center"/>
              <w:rPr>
                <w:b/>
                <w:szCs w:val="20"/>
              </w:rPr>
            </w:pPr>
            <w:r w:rsidRPr="005F0A01">
              <w:rPr>
                <w:b/>
                <w:szCs w:val="20"/>
              </w:rPr>
              <w:t>Purchase Cost</w:t>
            </w:r>
          </w:p>
        </w:tc>
      </w:tr>
      <w:tr w:rsidR="00D169D5" w:rsidRPr="005F0A01" w14:paraId="5B48D88F" w14:textId="77777777" w:rsidTr="00D87AEA">
        <w:tc>
          <w:tcPr>
            <w:tcW w:w="2975" w:type="dxa"/>
            <w:shd w:val="clear" w:color="auto" w:fill="auto"/>
            <w:vAlign w:val="center"/>
          </w:tcPr>
          <w:p w14:paraId="451AC66E" w14:textId="77777777" w:rsidR="00D169D5" w:rsidRPr="005F0A01" w:rsidRDefault="00D169D5" w:rsidP="00D87AEA">
            <w:pPr>
              <w:spacing w:before="60" w:after="60"/>
              <w:rPr>
                <w:szCs w:val="20"/>
              </w:rPr>
            </w:pPr>
            <w:r w:rsidRPr="005F0A01">
              <w:rPr>
                <w:szCs w:val="20"/>
              </w:rPr>
              <w:t>Ecosystem Credits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56" w14:textId="77777777" w:rsidR="00D169D5" w:rsidRPr="005F0A01" w:rsidRDefault="00D169D5" w:rsidP="00D87AEA">
            <w:pPr>
              <w:spacing w:before="60" w:after="60"/>
              <w:ind w:right="227"/>
              <w:jc w:val="right"/>
              <w:rPr>
                <w:szCs w:val="20"/>
              </w:rPr>
            </w:pPr>
            <w:r w:rsidRPr="005F0A01">
              <w:rPr>
                <w:szCs w:val="20"/>
              </w:rPr>
              <w:t>2,167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14EF" w14:textId="77777777" w:rsidR="00D169D5" w:rsidRPr="005F0A01" w:rsidRDefault="00D169D5" w:rsidP="00D87AEA">
            <w:pPr>
              <w:spacing w:before="60" w:after="60"/>
              <w:ind w:right="227"/>
              <w:jc w:val="right"/>
              <w:rPr>
                <w:rFonts w:cstheme="minorHAnsi"/>
                <w:color w:val="000000"/>
                <w:szCs w:val="20"/>
              </w:rPr>
            </w:pPr>
            <w:r w:rsidRPr="005F0A01">
              <w:rPr>
                <w:rFonts w:cstheme="minorHAnsi"/>
                <w:color w:val="000000"/>
                <w:szCs w:val="20"/>
              </w:rPr>
              <w:t>$16,378,951</w:t>
            </w:r>
          </w:p>
        </w:tc>
      </w:tr>
      <w:tr w:rsidR="00D169D5" w:rsidRPr="005F0A01" w14:paraId="75CD5FA1" w14:textId="77777777" w:rsidTr="00D87AEA">
        <w:tc>
          <w:tcPr>
            <w:tcW w:w="2975" w:type="dxa"/>
            <w:shd w:val="clear" w:color="auto" w:fill="auto"/>
            <w:vAlign w:val="center"/>
          </w:tcPr>
          <w:p w14:paraId="14A8C795" w14:textId="77777777" w:rsidR="00D169D5" w:rsidRPr="005F0A01" w:rsidRDefault="00D169D5" w:rsidP="00D87AEA">
            <w:pPr>
              <w:spacing w:before="60" w:after="60"/>
              <w:rPr>
                <w:szCs w:val="20"/>
              </w:rPr>
            </w:pPr>
            <w:r w:rsidRPr="005F0A01">
              <w:rPr>
                <w:szCs w:val="20"/>
              </w:rPr>
              <w:t>Species Credits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D6C9B" w14:textId="77777777" w:rsidR="00D169D5" w:rsidRPr="005F0A01" w:rsidRDefault="00D169D5" w:rsidP="00D87AEA">
            <w:pPr>
              <w:spacing w:before="60" w:after="60"/>
              <w:ind w:right="227"/>
              <w:jc w:val="right"/>
              <w:rPr>
                <w:szCs w:val="20"/>
              </w:rPr>
            </w:pPr>
            <w:r w:rsidRPr="005F0A01">
              <w:rPr>
                <w:szCs w:val="20"/>
              </w:rPr>
              <w:t>4,906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C491A" w14:textId="77777777" w:rsidR="00D169D5" w:rsidRPr="005F0A01" w:rsidRDefault="00D169D5" w:rsidP="00D87AEA">
            <w:pPr>
              <w:spacing w:before="60" w:after="60"/>
              <w:ind w:right="227"/>
              <w:jc w:val="right"/>
              <w:rPr>
                <w:rFonts w:cstheme="minorHAnsi"/>
                <w:color w:val="000000"/>
                <w:szCs w:val="20"/>
              </w:rPr>
            </w:pPr>
            <w:r w:rsidRPr="005F0A01">
              <w:rPr>
                <w:rFonts w:cstheme="minorHAnsi"/>
                <w:color w:val="000000"/>
                <w:szCs w:val="20"/>
              </w:rPr>
              <w:t>$3,386,821</w:t>
            </w:r>
          </w:p>
        </w:tc>
      </w:tr>
      <w:tr w:rsidR="00D169D5" w:rsidRPr="005F0A01" w14:paraId="5A473D61" w14:textId="77777777" w:rsidTr="00D87AEA">
        <w:tc>
          <w:tcPr>
            <w:tcW w:w="2975" w:type="dxa"/>
            <w:vAlign w:val="center"/>
          </w:tcPr>
          <w:p w14:paraId="62DAA6FC" w14:textId="77777777" w:rsidR="00D169D5" w:rsidRPr="005F0A01" w:rsidRDefault="00D169D5" w:rsidP="00D87AEA">
            <w:pPr>
              <w:spacing w:before="60" w:after="60"/>
              <w:rPr>
                <w:b/>
                <w:bCs/>
                <w:szCs w:val="20"/>
              </w:rPr>
            </w:pPr>
            <w:r w:rsidRPr="005F0A01">
              <w:rPr>
                <w:b/>
                <w:bCs/>
                <w:szCs w:val="20"/>
              </w:rPr>
              <w:t>Total</w:t>
            </w:r>
          </w:p>
        </w:tc>
        <w:tc>
          <w:tcPr>
            <w:tcW w:w="2975" w:type="dxa"/>
            <w:vAlign w:val="center"/>
          </w:tcPr>
          <w:p w14:paraId="7945095B" w14:textId="77777777" w:rsidR="00D169D5" w:rsidRPr="005F0A01" w:rsidRDefault="00D169D5" w:rsidP="00D87AEA">
            <w:pPr>
              <w:spacing w:before="60" w:after="60"/>
              <w:ind w:right="227"/>
              <w:jc w:val="right"/>
              <w:rPr>
                <w:b/>
                <w:szCs w:val="20"/>
              </w:rPr>
            </w:pPr>
            <w:r w:rsidRPr="005F0A01">
              <w:rPr>
                <w:b/>
                <w:szCs w:val="20"/>
              </w:rPr>
              <w:t>7,073</w:t>
            </w:r>
          </w:p>
        </w:tc>
        <w:tc>
          <w:tcPr>
            <w:tcW w:w="2976" w:type="dxa"/>
            <w:vAlign w:val="center"/>
          </w:tcPr>
          <w:p w14:paraId="4A9BE905" w14:textId="7CA234DF" w:rsidR="00D169D5" w:rsidRPr="005F0A01" w:rsidRDefault="00D169D5" w:rsidP="00D87AEA">
            <w:pPr>
              <w:spacing w:before="60" w:after="60"/>
              <w:ind w:right="227"/>
              <w:jc w:val="right"/>
              <w:rPr>
                <w:rFonts w:cstheme="minorHAnsi"/>
                <w:b/>
                <w:bCs/>
                <w:szCs w:val="20"/>
              </w:rPr>
            </w:pPr>
            <w:r w:rsidRPr="005F0A01">
              <w:rPr>
                <w:rFonts w:cstheme="minorHAnsi"/>
                <w:b/>
                <w:bCs/>
                <w:color w:val="000000"/>
                <w:szCs w:val="20"/>
              </w:rPr>
              <w:t>$19,765,773</w:t>
            </w:r>
          </w:p>
        </w:tc>
      </w:tr>
    </w:tbl>
    <w:p w14:paraId="05B1BEA5" w14:textId="1EC6B8CE" w:rsidR="00D169D5" w:rsidRDefault="00D169D5" w:rsidP="009A3BA9">
      <w:pPr>
        <w:spacing w:before="160"/>
      </w:pPr>
      <w:r>
        <w:t xml:space="preserve">This includes $9.1 </w:t>
      </w:r>
      <w:r w:rsidR="005F0A01">
        <w:t xml:space="preserve">million </w:t>
      </w:r>
      <w:r>
        <w:t xml:space="preserve">for existing credits and $10.7 </w:t>
      </w:r>
      <w:r w:rsidR="005F0A01">
        <w:t xml:space="preserve">million </w:t>
      </w:r>
      <w:r>
        <w:t>for proposed credits from 18 proposed BSAs currently being established.</w:t>
      </w:r>
    </w:p>
    <w:p w14:paraId="0EEB6170" w14:textId="72F3A730" w:rsidR="00D169D5" w:rsidRPr="00274740" w:rsidRDefault="00D169D5" w:rsidP="00D169D5">
      <w:pPr>
        <w:rPr>
          <w:rFonts w:eastAsia="Times New Roman"/>
        </w:rPr>
      </w:pPr>
      <w:r w:rsidRPr="00274740">
        <w:rPr>
          <w:rFonts w:eastAsia="Times New Roman"/>
        </w:rPr>
        <w:t xml:space="preserve">The </w:t>
      </w:r>
      <w:r w:rsidR="005F0A01" w:rsidRPr="00274740">
        <w:rPr>
          <w:rFonts w:eastAsia="Times New Roman"/>
        </w:rPr>
        <w:t xml:space="preserve">tender </w:t>
      </w:r>
      <w:r w:rsidRPr="00274740">
        <w:rPr>
          <w:rFonts w:eastAsia="Times New Roman"/>
        </w:rPr>
        <w:t>outcomes are expected to contribute funds to 3</w:t>
      </w:r>
      <w:r>
        <w:rPr>
          <w:rFonts w:eastAsia="Times New Roman"/>
        </w:rPr>
        <w:t xml:space="preserve">1 </w:t>
      </w:r>
      <w:r w:rsidRPr="00274740">
        <w:rPr>
          <w:rFonts w:eastAsia="Times New Roman"/>
        </w:rPr>
        <w:t xml:space="preserve">existing BSA landowners and </w:t>
      </w:r>
      <w:r w:rsidR="005F0A01">
        <w:rPr>
          <w:rFonts w:eastAsia="Times New Roman"/>
        </w:rPr>
        <w:t xml:space="preserve">enable </w:t>
      </w:r>
      <w:r w:rsidRPr="00274740">
        <w:rPr>
          <w:rFonts w:eastAsia="Times New Roman"/>
        </w:rPr>
        <w:t xml:space="preserve">two existing sites to </w:t>
      </w:r>
      <w:proofErr w:type="spellStart"/>
      <w:r w:rsidRPr="00274740">
        <w:rPr>
          <w:rFonts w:eastAsia="Times New Roman"/>
        </w:rPr>
        <w:t>fulfill</w:t>
      </w:r>
      <w:proofErr w:type="spellEnd"/>
      <w:r w:rsidRPr="00274740">
        <w:rPr>
          <w:rFonts w:eastAsia="Times New Roman"/>
        </w:rPr>
        <w:t xml:space="preserve"> their </w:t>
      </w:r>
      <w:r>
        <w:rPr>
          <w:rFonts w:eastAsia="Times New Roman"/>
        </w:rPr>
        <w:t>Total Fund Deposit</w:t>
      </w:r>
      <w:r w:rsidRPr="00274740">
        <w:rPr>
          <w:rFonts w:eastAsia="Times New Roman"/>
        </w:rPr>
        <w:t xml:space="preserve"> and </w:t>
      </w:r>
      <w:r w:rsidR="00981F6D">
        <w:rPr>
          <w:rFonts w:eastAsia="Times New Roman"/>
        </w:rPr>
        <w:t>commence</w:t>
      </w:r>
      <w:r w:rsidR="00981F6D" w:rsidRPr="00274740">
        <w:rPr>
          <w:rFonts w:eastAsia="Times New Roman"/>
        </w:rPr>
        <w:t xml:space="preserve"> </w:t>
      </w:r>
      <w:r w:rsidRPr="00274740">
        <w:rPr>
          <w:rFonts w:eastAsia="Times New Roman"/>
        </w:rPr>
        <w:t>active management.</w:t>
      </w:r>
      <w:r w:rsidR="009D655F">
        <w:rPr>
          <w:rFonts w:eastAsia="Times New Roman"/>
        </w:rPr>
        <w:t xml:space="preserve">  </w:t>
      </w:r>
      <w:r w:rsidRPr="00274740">
        <w:rPr>
          <w:rFonts w:eastAsia="Times New Roman"/>
        </w:rPr>
        <w:t xml:space="preserve"> </w:t>
      </w:r>
    </w:p>
    <w:p w14:paraId="690EF349" w14:textId="34D86E5B" w:rsidR="009A3BA9" w:rsidRDefault="005F0A01" w:rsidP="005F0A01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D169D5">
        <w:rPr>
          <w:rFonts w:eastAsia="Times New Roman"/>
        </w:rPr>
        <w:t>BCT offered</w:t>
      </w:r>
      <w:r w:rsidR="00D169D5" w:rsidRPr="00C1763C">
        <w:rPr>
          <w:rFonts w:eastAsia="Times New Roman"/>
        </w:rPr>
        <w:t xml:space="preserve"> to purchase</w:t>
      </w:r>
      <w:r w:rsidR="00D169D5">
        <w:rPr>
          <w:rFonts w:eastAsia="Times New Roman"/>
        </w:rPr>
        <w:t xml:space="preserve"> credits</w:t>
      </w:r>
      <w:r w:rsidR="00D169D5" w:rsidRPr="00274740">
        <w:rPr>
          <w:rFonts w:eastAsia="Times New Roman"/>
        </w:rPr>
        <w:t xml:space="preserve"> </w:t>
      </w:r>
      <w:r w:rsidR="00D169D5">
        <w:rPr>
          <w:rFonts w:eastAsia="Times New Roman"/>
        </w:rPr>
        <w:t>for</w:t>
      </w:r>
      <w:r w:rsidR="00D169D5" w:rsidRPr="00274740">
        <w:rPr>
          <w:rFonts w:eastAsia="Times New Roman"/>
        </w:rPr>
        <w:t xml:space="preserve"> </w:t>
      </w:r>
      <w:r w:rsidR="00D169D5">
        <w:rPr>
          <w:rFonts w:eastAsia="Times New Roman"/>
        </w:rPr>
        <w:t>30</w:t>
      </w:r>
      <w:r w:rsidR="00D169D5" w:rsidRPr="00274740">
        <w:rPr>
          <w:rFonts w:eastAsia="Times New Roman"/>
        </w:rPr>
        <w:t xml:space="preserve"> different ecosystem </w:t>
      </w:r>
      <w:r w:rsidR="00D169D5">
        <w:rPr>
          <w:rFonts w:eastAsia="Times New Roman"/>
        </w:rPr>
        <w:t>O</w:t>
      </w:r>
      <w:r w:rsidR="00D169D5" w:rsidRPr="00274740">
        <w:rPr>
          <w:rFonts w:eastAsia="Times New Roman"/>
        </w:rPr>
        <w:t xml:space="preserve">ffset </w:t>
      </w:r>
      <w:r w:rsidR="00D169D5">
        <w:rPr>
          <w:rFonts w:eastAsia="Times New Roman"/>
        </w:rPr>
        <w:t>T</w:t>
      </w:r>
      <w:r w:rsidR="00D169D5" w:rsidRPr="00274740">
        <w:rPr>
          <w:rFonts w:eastAsia="Times New Roman"/>
        </w:rPr>
        <w:t xml:space="preserve">rading </w:t>
      </w:r>
      <w:r w:rsidR="00D169D5">
        <w:rPr>
          <w:rFonts w:eastAsia="Times New Roman"/>
        </w:rPr>
        <w:t>G</w:t>
      </w:r>
      <w:r w:rsidR="00D169D5" w:rsidRPr="00274740">
        <w:rPr>
          <w:rFonts w:eastAsia="Times New Roman"/>
        </w:rPr>
        <w:t xml:space="preserve">roups </w:t>
      </w:r>
      <w:r>
        <w:rPr>
          <w:rFonts w:eastAsia="Times New Roman"/>
        </w:rPr>
        <w:t xml:space="preserve">in </w:t>
      </w:r>
      <w:r w:rsidR="00D169D5" w:rsidRPr="00274740">
        <w:rPr>
          <w:rFonts w:eastAsia="Times New Roman"/>
        </w:rPr>
        <w:t>1</w:t>
      </w:r>
      <w:r w:rsidR="00D169D5">
        <w:rPr>
          <w:rFonts w:eastAsia="Times New Roman"/>
        </w:rPr>
        <w:t>8</w:t>
      </w:r>
      <w:r w:rsidR="00D169D5" w:rsidRPr="00274740">
        <w:rPr>
          <w:rFonts w:eastAsia="Times New Roman"/>
        </w:rPr>
        <w:t xml:space="preserve"> different </w:t>
      </w:r>
      <w:r>
        <w:rPr>
          <w:rFonts w:eastAsia="Times New Roman"/>
        </w:rPr>
        <w:t xml:space="preserve">IBRA </w:t>
      </w:r>
      <w:r w:rsidR="00D169D5" w:rsidRPr="00274740">
        <w:rPr>
          <w:rFonts w:eastAsia="Times New Roman"/>
        </w:rPr>
        <w:t>subregions</w:t>
      </w:r>
      <w:r>
        <w:rPr>
          <w:rStyle w:val="FootnoteReference"/>
          <w:rFonts w:eastAsia="Times New Roman"/>
        </w:rPr>
        <w:footnoteReference w:id="1"/>
      </w:r>
      <w:r>
        <w:rPr>
          <w:rFonts w:eastAsia="Times New Roman"/>
        </w:rPr>
        <w:t>,</w:t>
      </w:r>
      <w:r w:rsidR="00D169D5" w:rsidRPr="00274740">
        <w:rPr>
          <w:rFonts w:eastAsia="Times New Roman"/>
        </w:rPr>
        <w:t xml:space="preserve"> </w:t>
      </w:r>
      <w:r w:rsidR="00D169D5">
        <w:rPr>
          <w:rFonts w:eastAsia="Times New Roman"/>
        </w:rPr>
        <w:t xml:space="preserve">and </w:t>
      </w:r>
      <w:r w:rsidR="007C10AB">
        <w:rPr>
          <w:rFonts w:eastAsia="Times New Roman"/>
        </w:rPr>
        <w:t xml:space="preserve">for </w:t>
      </w:r>
      <w:r w:rsidR="00D169D5" w:rsidRPr="00274740">
        <w:rPr>
          <w:rFonts w:eastAsia="Times New Roman"/>
        </w:rPr>
        <w:t>1</w:t>
      </w:r>
      <w:r w:rsidR="00D169D5">
        <w:rPr>
          <w:rFonts w:eastAsia="Times New Roman"/>
        </w:rPr>
        <w:t>3</w:t>
      </w:r>
      <w:r w:rsidR="00D169D5" w:rsidRPr="00274740">
        <w:rPr>
          <w:rFonts w:eastAsia="Times New Roman"/>
        </w:rPr>
        <w:t xml:space="preserve"> species </w:t>
      </w:r>
      <w:bookmarkStart w:id="6" w:name="_Hlk129703145"/>
      <w:r>
        <w:rPr>
          <w:rFonts w:eastAsia="Times New Roman"/>
        </w:rPr>
        <w:t xml:space="preserve">in </w:t>
      </w:r>
      <w:r w:rsidR="00D169D5" w:rsidRPr="00274740">
        <w:rPr>
          <w:rFonts w:eastAsia="Times New Roman"/>
        </w:rPr>
        <w:t>1</w:t>
      </w:r>
      <w:r w:rsidR="00D169D5">
        <w:rPr>
          <w:rFonts w:eastAsia="Times New Roman"/>
        </w:rPr>
        <w:t>4</w:t>
      </w:r>
      <w:r w:rsidR="00D169D5" w:rsidRPr="00274740">
        <w:rPr>
          <w:rFonts w:eastAsia="Times New Roman"/>
        </w:rPr>
        <w:t xml:space="preserve"> different </w:t>
      </w:r>
      <w:r>
        <w:rPr>
          <w:rFonts w:eastAsia="Times New Roman"/>
        </w:rPr>
        <w:t xml:space="preserve">IBRA </w:t>
      </w:r>
      <w:r w:rsidR="00D169D5" w:rsidRPr="00274740">
        <w:rPr>
          <w:rFonts w:eastAsia="Times New Roman"/>
        </w:rPr>
        <w:t>subregions</w:t>
      </w:r>
      <w:bookmarkEnd w:id="6"/>
      <w:r w:rsidR="00D169D5" w:rsidRPr="00274740">
        <w:rPr>
          <w:rFonts w:eastAsia="Times New Roman"/>
        </w:rPr>
        <w:t xml:space="preserve">. </w:t>
      </w:r>
    </w:p>
    <w:p w14:paraId="11D02183" w14:textId="47B7E298" w:rsidR="00796F53" w:rsidRDefault="00796F53" w:rsidP="00796F53">
      <w:r>
        <w:rPr>
          <w:rFonts w:eastAsia="Times New Roman"/>
        </w:rPr>
        <w:lastRenderedPageBreak/>
        <w:t xml:space="preserve">Table 2 identifies the number and cost of </w:t>
      </w:r>
      <w:r w:rsidR="002F126D">
        <w:rPr>
          <w:rFonts w:eastAsia="Times New Roman"/>
        </w:rPr>
        <w:t xml:space="preserve">the </w:t>
      </w:r>
      <w:r>
        <w:rPr>
          <w:rFonts w:eastAsia="Times New Roman"/>
        </w:rPr>
        <w:t>credits that the BCT is proceeding to purchase</w:t>
      </w:r>
      <w:r w:rsidR="002F126D">
        <w:rPr>
          <w:rFonts w:eastAsia="Times New Roman"/>
        </w:rPr>
        <w:t>,</w:t>
      </w:r>
      <w:r>
        <w:rPr>
          <w:rFonts w:eastAsia="Times New Roman"/>
        </w:rPr>
        <w:t xml:space="preserve"> as </w:t>
      </w:r>
      <w:proofErr w:type="gramStart"/>
      <w:r>
        <w:rPr>
          <w:rFonts w:eastAsia="Times New Roman"/>
        </w:rPr>
        <w:t>at</w:t>
      </w:r>
      <w:proofErr w:type="gramEnd"/>
      <w:r>
        <w:rPr>
          <w:rFonts w:eastAsia="Times New Roman"/>
        </w:rPr>
        <w:t xml:space="preserve"> 30 April 2023. This is a subset of the credits included in Table 1, given that in some cases the </w:t>
      </w:r>
      <w:r>
        <w:t xml:space="preserve">credit owner decided not to proceed with the purchase, or the </w:t>
      </w:r>
      <w:r w:rsidRPr="000316C8">
        <w:rPr>
          <w:bCs/>
        </w:rPr>
        <w:t>T</w:t>
      </w:r>
      <w:r>
        <w:rPr>
          <w:bCs/>
        </w:rPr>
        <w:t xml:space="preserve">FD </w:t>
      </w:r>
      <w:r w:rsidRPr="000316C8">
        <w:rPr>
          <w:bCs/>
        </w:rPr>
        <w:t xml:space="preserve">or other requirements </w:t>
      </w:r>
      <w:r>
        <w:rPr>
          <w:bCs/>
        </w:rPr>
        <w:t>were not satisfied.</w:t>
      </w:r>
    </w:p>
    <w:p w14:paraId="6E0E58E5" w14:textId="00DB8811" w:rsidR="00796F53" w:rsidRPr="002F126D" w:rsidRDefault="00796F53" w:rsidP="005F0A01">
      <w:pPr>
        <w:rPr>
          <w:rFonts w:eastAsia="Times New Roman"/>
        </w:rPr>
      </w:pPr>
      <w:r>
        <w:rPr>
          <w:rFonts w:eastAsia="Times New Roman"/>
        </w:rPr>
        <w:t>In summa</w:t>
      </w:r>
      <w:r w:rsidR="007E3E69">
        <w:rPr>
          <w:rFonts w:eastAsia="Times New Roman"/>
        </w:rPr>
        <w:t>r</w:t>
      </w:r>
      <w:r>
        <w:rPr>
          <w:rFonts w:eastAsia="Times New Roman"/>
        </w:rPr>
        <w:t xml:space="preserve">y, by the end of April 2023 the BCT had committed to purchase 5,379 credits from the tender bids for a </w:t>
      </w:r>
      <w:r w:rsidR="002F126D">
        <w:rPr>
          <w:rFonts w:eastAsia="Times New Roman"/>
        </w:rPr>
        <w:t>total cost of $16.8 million. This outcome may vary as purchases proceed</w:t>
      </w:r>
      <w:r>
        <w:rPr>
          <w:rFonts w:eastAsia="Times New Roman"/>
        </w:rPr>
        <w:t xml:space="preserve">. </w:t>
      </w:r>
      <w:r w:rsidR="002F126D">
        <w:rPr>
          <w:rFonts w:eastAsia="Times New Roman"/>
        </w:rPr>
        <w:t xml:space="preserve">The final outcomes and resulting credit transactions will be reported in the </w:t>
      </w:r>
      <w:r w:rsidR="002F126D">
        <w:t xml:space="preserve">BOS </w:t>
      </w:r>
      <w:hyperlink r:id="rId17" w:history="1">
        <w:r w:rsidR="002F126D">
          <w:rPr>
            <w:rStyle w:val="Hyperlink"/>
          </w:rPr>
          <w:t>credit transactions register</w:t>
        </w:r>
      </w:hyperlink>
      <w:r w:rsidR="002F126D" w:rsidRPr="00495829">
        <w:rPr>
          <w:rFonts w:eastAsia="Times New Roman"/>
        </w:rPr>
        <w:t>.</w:t>
      </w:r>
    </w:p>
    <w:p w14:paraId="3D0B9318" w14:textId="12111828" w:rsidR="00796F53" w:rsidRPr="005F0A01" w:rsidRDefault="00796F53" w:rsidP="00796F53">
      <w:pPr>
        <w:spacing w:after="120"/>
        <w:rPr>
          <w:b/>
        </w:rPr>
      </w:pPr>
      <w:r w:rsidRPr="005F0A01">
        <w:rPr>
          <w:b/>
          <w:bCs/>
        </w:rPr>
        <w:t xml:space="preserve">Table 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 w:rsidRPr="005F0A01">
        <w:rPr>
          <w:b/>
        </w:rPr>
        <w:t xml:space="preserve">Bids </w:t>
      </w:r>
      <w:r>
        <w:rPr>
          <w:b/>
        </w:rPr>
        <w:t xml:space="preserve">proceeding to a purchase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796F53" w:rsidRPr="005F0A01" w14:paraId="0D280547" w14:textId="77777777" w:rsidTr="009624DE"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07097F0E" w14:textId="77777777" w:rsidR="00796F53" w:rsidRPr="005F0A01" w:rsidRDefault="00796F53" w:rsidP="009624DE">
            <w:pPr>
              <w:spacing w:before="60" w:after="60"/>
              <w:rPr>
                <w:b/>
                <w:szCs w:val="20"/>
              </w:rPr>
            </w:pPr>
            <w:r w:rsidRPr="005F0A01">
              <w:rPr>
                <w:b/>
                <w:szCs w:val="20"/>
              </w:rPr>
              <w:t>Credit Type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125BE1A1" w14:textId="77777777" w:rsidR="00796F53" w:rsidRPr="005F0A01" w:rsidRDefault="00796F53" w:rsidP="009624DE">
            <w:pPr>
              <w:spacing w:before="60" w:after="60"/>
              <w:jc w:val="center"/>
              <w:rPr>
                <w:b/>
                <w:szCs w:val="20"/>
              </w:rPr>
            </w:pPr>
            <w:r w:rsidRPr="005F0A01">
              <w:rPr>
                <w:b/>
                <w:szCs w:val="20"/>
              </w:rPr>
              <w:t>Number of BAM Credits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9EB9109" w14:textId="77777777" w:rsidR="00796F53" w:rsidRPr="005F0A01" w:rsidRDefault="00796F53" w:rsidP="009624DE">
            <w:pPr>
              <w:spacing w:before="60" w:after="60"/>
              <w:jc w:val="center"/>
              <w:rPr>
                <w:b/>
                <w:szCs w:val="20"/>
              </w:rPr>
            </w:pPr>
            <w:r w:rsidRPr="005F0A01">
              <w:rPr>
                <w:b/>
                <w:szCs w:val="20"/>
              </w:rPr>
              <w:t>Purchase Cost</w:t>
            </w:r>
          </w:p>
        </w:tc>
      </w:tr>
      <w:tr w:rsidR="00796F53" w:rsidRPr="005F0A01" w14:paraId="722ED094" w14:textId="77777777" w:rsidTr="009624DE">
        <w:tc>
          <w:tcPr>
            <w:tcW w:w="2975" w:type="dxa"/>
            <w:shd w:val="clear" w:color="auto" w:fill="auto"/>
            <w:vAlign w:val="center"/>
          </w:tcPr>
          <w:p w14:paraId="535F23B2" w14:textId="77777777" w:rsidR="00796F53" w:rsidRPr="005F0A01" w:rsidRDefault="00796F53" w:rsidP="00796F53">
            <w:pPr>
              <w:spacing w:before="60" w:after="60"/>
              <w:rPr>
                <w:szCs w:val="20"/>
              </w:rPr>
            </w:pPr>
            <w:r w:rsidRPr="005F0A01">
              <w:rPr>
                <w:szCs w:val="20"/>
              </w:rPr>
              <w:t>Ecosystem Credits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58A2" w14:textId="24B07E91" w:rsidR="00796F53" w:rsidRPr="005F0A01" w:rsidRDefault="00796F53" w:rsidP="00796F53">
            <w:pPr>
              <w:spacing w:before="60" w:after="60"/>
              <w:ind w:right="227"/>
              <w:jc w:val="right"/>
              <w:rPr>
                <w:szCs w:val="20"/>
              </w:rPr>
            </w:pPr>
            <w:r>
              <w:rPr>
                <w:szCs w:val="20"/>
              </w:rPr>
              <w:t>1,652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E0B9" w14:textId="34E85B25" w:rsidR="00796F53" w:rsidRPr="005F0A01" w:rsidRDefault="00796F53" w:rsidP="00796F53">
            <w:pPr>
              <w:spacing w:before="60" w:after="60"/>
              <w:ind w:right="227"/>
              <w:jc w:val="right"/>
              <w:rPr>
                <w:rFonts w:cstheme="minorHAnsi"/>
                <w:color w:val="000000"/>
                <w:szCs w:val="20"/>
              </w:rPr>
            </w:pPr>
            <w:r w:rsidRPr="005F0A01">
              <w:rPr>
                <w:rFonts w:cstheme="minorHAnsi"/>
                <w:color w:val="000000"/>
                <w:szCs w:val="20"/>
              </w:rPr>
              <w:t>$</w:t>
            </w:r>
            <w:r>
              <w:rPr>
                <w:rFonts w:cstheme="minorHAnsi"/>
                <w:color w:val="000000"/>
                <w:szCs w:val="20"/>
              </w:rPr>
              <w:t>14,224,352</w:t>
            </w:r>
          </w:p>
        </w:tc>
      </w:tr>
      <w:tr w:rsidR="00796F53" w:rsidRPr="005F0A01" w14:paraId="377C658A" w14:textId="77777777" w:rsidTr="009624DE">
        <w:tc>
          <w:tcPr>
            <w:tcW w:w="2975" w:type="dxa"/>
            <w:shd w:val="clear" w:color="auto" w:fill="auto"/>
            <w:vAlign w:val="center"/>
          </w:tcPr>
          <w:p w14:paraId="0904A086" w14:textId="77777777" w:rsidR="00796F53" w:rsidRPr="005F0A01" w:rsidRDefault="00796F53" w:rsidP="00796F53">
            <w:pPr>
              <w:spacing w:before="60" w:after="60"/>
              <w:rPr>
                <w:szCs w:val="20"/>
              </w:rPr>
            </w:pPr>
            <w:r w:rsidRPr="005F0A01">
              <w:rPr>
                <w:szCs w:val="20"/>
              </w:rPr>
              <w:t>Species Credits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EF7BE" w14:textId="25B087D9" w:rsidR="00796F53" w:rsidRPr="005F0A01" w:rsidRDefault="00796F53" w:rsidP="00796F53">
            <w:pPr>
              <w:spacing w:before="60" w:after="60"/>
              <w:ind w:right="227"/>
              <w:jc w:val="right"/>
              <w:rPr>
                <w:szCs w:val="20"/>
              </w:rPr>
            </w:pPr>
            <w:r>
              <w:rPr>
                <w:szCs w:val="20"/>
              </w:rPr>
              <w:t>3,727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2FD4E" w14:textId="58D5546F" w:rsidR="00796F53" w:rsidRPr="005F0A01" w:rsidRDefault="00796F53" w:rsidP="00796F53">
            <w:pPr>
              <w:spacing w:before="60" w:after="60"/>
              <w:ind w:right="227"/>
              <w:jc w:val="right"/>
              <w:rPr>
                <w:rFonts w:cstheme="minorHAnsi"/>
                <w:color w:val="000000"/>
                <w:szCs w:val="20"/>
              </w:rPr>
            </w:pPr>
            <w:r w:rsidRPr="005F0A01">
              <w:rPr>
                <w:rFonts w:cstheme="minorHAnsi"/>
                <w:color w:val="000000"/>
                <w:szCs w:val="20"/>
              </w:rPr>
              <w:t>$</w:t>
            </w:r>
            <w:r>
              <w:rPr>
                <w:rFonts w:cstheme="minorHAnsi"/>
                <w:color w:val="000000"/>
                <w:szCs w:val="20"/>
              </w:rPr>
              <w:t>2,606,530</w:t>
            </w:r>
          </w:p>
        </w:tc>
      </w:tr>
      <w:tr w:rsidR="00796F53" w:rsidRPr="005F0A01" w14:paraId="7D0C5447" w14:textId="77777777" w:rsidTr="009624DE">
        <w:tc>
          <w:tcPr>
            <w:tcW w:w="2975" w:type="dxa"/>
            <w:vAlign w:val="center"/>
          </w:tcPr>
          <w:p w14:paraId="3A502E8F" w14:textId="77777777" w:rsidR="00796F53" w:rsidRPr="005F0A01" w:rsidRDefault="00796F53" w:rsidP="00796F53">
            <w:pPr>
              <w:spacing w:before="60" w:after="60"/>
              <w:rPr>
                <w:b/>
                <w:bCs/>
                <w:szCs w:val="20"/>
              </w:rPr>
            </w:pPr>
            <w:r w:rsidRPr="005F0A01">
              <w:rPr>
                <w:b/>
                <w:bCs/>
                <w:szCs w:val="20"/>
              </w:rPr>
              <w:t>Total</w:t>
            </w:r>
          </w:p>
        </w:tc>
        <w:tc>
          <w:tcPr>
            <w:tcW w:w="2975" w:type="dxa"/>
            <w:vAlign w:val="center"/>
          </w:tcPr>
          <w:p w14:paraId="3116EC1B" w14:textId="419155D9" w:rsidR="00796F53" w:rsidRPr="005F0A01" w:rsidRDefault="00796F53" w:rsidP="00796F53">
            <w:pPr>
              <w:spacing w:before="60" w:after="60"/>
              <w:ind w:right="22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5,379</w:t>
            </w:r>
          </w:p>
        </w:tc>
        <w:tc>
          <w:tcPr>
            <w:tcW w:w="2976" w:type="dxa"/>
            <w:vAlign w:val="center"/>
          </w:tcPr>
          <w:p w14:paraId="576C9E93" w14:textId="68A07916" w:rsidR="00796F53" w:rsidRPr="005F0A01" w:rsidRDefault="00796F53" w:rsidP="00796F53">
            <w:pPr>
              <w:spacing w:before="60" w:after="60"/>
              <w:ind w:right="227"/>
              <w:jc w:val="right"/>
              <w:rPr>
                <w:rFonts w:cstheme="minorHAnsi"/>
                <w:b/>
                <w:bCs/>
                <w:szCs w:val="20"/>
              </w:rPr>
            </w:pPr>
            <w:r w:rsidRPr="005F0A01">
              <w:rPr>
                <w:rFonts w:cstheme="minorHAnsi"/>
                <w:b/>
                <w:bCs/>
                <w:color w:val="000000"/>
                <w:szCs w:val="20"/>
              </w:rPr>
              <w:t>$</w:t>
            </w:r>
            <w:r>
              <w:rPr>
                <w:rFonts w:cstheme="minorHAnsi"/>
                <w:b/>
                <w:bCs/>
                <w:color w:val="000000"/>
                <w:szCs w:val="20"/>
              </w:rPr>
              <w:t>16,830,882</w:t>
            </w:r>
          </w:p>
        </w:tc>
      </w:tr>
    </w:tbl>
    <w:p w14:paraId="164242CD" w14:textId="77777777" w:rsidR="00796F53" w:rsidRDefault="00796F53" w:rsidP="005F0A01">
      <w:pPr>
        <w:rPr>
          <w:rFonts w:eastAsia="Times New Roman"/>
        </w:rPr>
      </w:pPr>
    </w:p>
    <w:p w14:paraId="79017E17" w14:textId="59FF85F5" w:rsidR="00F33DD1" w:rsidRDefault="00F33DD1" w:rsidP="00F33DD1">
      <w:pPr>
        <w:pStyle w:val="Heading3"/>
      </w:pPr>
      <w:r>
        <w:t>Other sources of market information</w:t>
      </w:r>
    </w:p>
    <w:p w14:paraId="647DAF13" w14:textId="618C2ED2" w:rsidR="00F33DD1" w:rsidRPr="009A3BA9" w:rsidRDefault="00F33DD1" w:rsidP="00F33DD1">
      <w:r>
        <w:t>This report is only one source of market information. Participants are encouraged to review</w:t>
      </w:r>
      <w:r w:rsidR="00A961D1">
        <w:t xml:space="preserve"> </w:t>
      </w:r>
      <w:r w:rsidR="002B1E7F">
        <w:t xml:space="preserve">other sources of market information such as </w:t>
      </w:r>
      <w:r w:rsidR="00A961D1">
        <w:t xml:space="preserve">the BOS </w:t>
      </w:r>
      <w:hyperlink r:id="rId18" w:history="1">
        <w:r w:rsidRPr="00A961D1">
          <w:rPr>
            <w:rStyle w:val="Hyperlink"/>
          </w:rPr>
          <w:t>credit transaction</w:t>
        </w:r>
        <w:r w:rsidR="00A961D1" w:rsidRPr="00A961D1">
          <w:rPr>
            <w:rStyle w:val="Hyperlink"/>
          </w:rPr>
          <w:t>s</w:t>
        </w:r>
        <w:r w:rsidRPr="00A961D1">
          <w:rPr>
            <w:rStyle w:val="Hyperlink"/>
          </w:rPr>
          <w:t xml:space="preserve"> register </w:t>
        </w:r>
      </w:hyperlink>
      <w:r w:rsidR="00A961D1">
        <w:t>,</w:t>
      </w:r>
      <w:r>
        <w:t xml:space="preserve"> </w:t>
      </w:r>
      <w:hyperlink r:id="rId19" w:history="1">
        <w:r w:rsidR="004246F4" w:rsidRPr="004246F4">
          <w:rPr>
            <w:rStyle w:val="Hyperlink"/>
          </w:rPr>
          <w:t>Biodiversity credits market sales dashboard</w:t>
        </w:r>
      </w:hyperlink>
      <w:r w:rsidR="004246F4">
        <w:t xml:space="preserve"> and </w:t>
      </w:r>
      <w:hyperlink r:id="rId20" w:history="1">
        <w:r w:rsidR="004246F4" w:rsidRPr="004246F4">
          <w:rPr>
            <w:rStyle w:val="Hyperlink"/>
          </w:rPr>
          <w:t xml:space="preserve">Biodiversity </w:t>
        </w:r>
        <w:r w:rsidRPr="004246F4">
          <w:rPr>
            <w:rStyle w:val="Hyperlink"/>
          </w:rPr>
          <w:t>Credit</w:t>
        </w:r>
        <w:r w:rsidR="004246F4" w:rsidRPr="004246F4">
          <w:rPr>
            <w:rStyle w:val="Hyperlink"/>
          </w:rPr>
          <w:t xml:space="preserve">s </w:t>
        </w:r>
        <w:r w:rsidRPr="004246F4">
          <w:rPr>
            <w:rStyle w:val="Hyperlink"/>
          </w:rPr>
          <w:t xml:space="preserve">Supply </w:t>
        </w:r>
        <w:r w:rsidR="004246F4" w:rsidRPr="004246F4">
          <w:rPr>
            <w:rStyle w:val="Hyperlink"/>
          </w:rPr>
          <w:t>T</w:t>
        </w:r>
        <w:r w:rsidRPr="004246F4">
          <w:rPr>
            <w:rStyle w:val="Hyperlink"/>
          </w:rPr>
          <w:t>askforce</w:t>
        </w:r>
      </w:hyperlink>
      <w:r>
        <w:t xml:space="preserve"> reports</w:t>
      </w:r>
      <w:r w:rsidR="004246F4">
        <w:t>.</w:t>
      </w:r>
    </w:p>
    <w:p w14:paraId="62CABB0F" w14:textId="5910D1FF" w:rsidR="00D169D5" w:rsidRDefault="00D169D5" w:rsidP="005F0A01">
      <w:pPr>
        <w:rPr>
          <w:lang w:val="en-AU"/>
        </w:rPr>
      </w:pPr>
    </w:p>
    <w:p w14:paraId="6A670B75" w14:textId="0E2F7F9E" w:rsidR="002B1E7F" w:rsidRDefault="002B1E7F" w:rsidP="00EB6A1E">
      <w:pPr>
        <w:rPr>
          <w:lang w:val="en-AU"/>
        </w:rPr>
      </w:pPr>
    </w:p>
    <w:p w14:paraId="53AD0ECB" w14:textId="77777777" w:rsidR="002B1E7F" w:rsidRDefault="002B1E7F" w:rsidP="00EB6A1E">
      <w:pPr>
        <w:rPr>
          <w:lang w:val="en-AU"/>
        </w:rPr>
        <w:sectPr w:rsidR="002B1E7F" w:rsidSect="004E645D"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</w:p>
    <w:p w14:paraId="71472070" w14:textId="39DF48C2" w:rsidR="00D169D5" w:rsidRDefault="00D169D5" w:rsidP="00B85B2B">
      <w:pPr>
        <w:pStyle w:val="Heading1"/>
        <w:numPr>
          <w:ilvl w:val="0"/>
          <w:numId w:val="0"/>
        </w:numPr>
      </w:pPr>
      <w:bookmarkStart w:id="7" w:name="_Toc130995848"/>
      <w:r>
        <w:lastRenderedPageBreak/>
        <w:t xml:space="preserve">Attachment </w:t>
      </w:r>
      <w:r w:rsidR="00B85B2B">
        <w:t>A</w:t>
      </w:r>
      <w:r>
        <w:t xml:space="preserve"> – Results</w:t>
      </w:r>
      <w:bookmarkEnd w:id="7"/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1020"/>
        <w:gridCol w:w="1021"/>
        <w:gridCol w:w="1020"/>
        <w:gridCol w:w="1021"/>
        <w:gridCol w:w="1021"/>
      </w:tblGrid>
      <w:tr w:rsidR="00221F45" w:rsidRPr="007E1F1A" w14:paraId="5C442076" w14:textId="77777777" w:rsidTr="007E1F1A">
        <w:trPr>
          <w:trHeight w:val="9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7D03D13" w14:textId="77777777" w:rsidR="00221F45" w:rsidRDefault="00221F45" w:rsidP="007E1F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Offset Trading Group</w:t>
            </w:r>
          </w:p>
          <w:p w14:paraId="558D084F" w14:textId="77777777" w:rsidR="007E1F1A" w:rsidRDefault="007E1F1A" w:rsidP="007E1F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</w:p>
          <w:p w14:paraId="4EA22EF2" w14:textId="115047A8" w:rsidR="007E1F1A" w:rsidRPr="007E1F1A" w:rsidRDefault="007E1F1A" w:rsidP="007E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(Note: Threatened ecological communities (TECs) listed in bold)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EEFD4BA" w14:textId="243CC415" w:rsidR="00221F45" w:rsidRPr="007E1F1A" w:rsidRDefault="00221F45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Number of bids accepted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1C0C31B" w14:textId="77777777" w:rsidR="00221F45" w:rsidRPr="007E1F1A" w:rsidRDefault="00221F45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Number of bid credits accepted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B09ACFD" w14:textId="77777777" w:rsidR="00221F45" w:rsidRPr="007E1F1A" w:rsidRDefault="00221F45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Number of bids not accepted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D3E3902" w14:textId="77777777" w:rsidR="00221F45" w:rsidRPr="007E1F1A" w:rsidRDefault="00221F45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Number of bid credits not accepted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71DC610" w14:textId="77777777" w:rsidR="00221F45" w:rsidRPr="007E1F1A" w:rsidRDefault="00221F45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Total number of bid credits</w:t>
            </w:r>
          </w:p>
        </w:tc>
      </w:tr>
      <w:tr w:rsidR="00977C84" w:rsidRPr="007E1F1A" w14:paraId="6D5792A4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C9E481A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Ecosystem Credits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40E33E" w14:textId="4D57633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5A742E" w14:textId="297DA8A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27B419" w14:textId="5E2C795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34DD15" w14:textId="2ACB4E8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12125F" w14:textId="78B96B5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9,498</w:t>
            </w:r>
          </w:p>
        </w:tc>
      </w:tr>
      <w:tr w:rsidR="00977C84" w:rsidRPr="007E1F1A" w14:paraId="7CAF137F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A17D09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Clarence Dry Sclerophyll Forests &lt; 50%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46ABFE" w14:textId="53D30BB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41146E" w14:textId="75DA22C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B97BD4" w14:textId="4AD2DC3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052E1" w14:textId="45A2F7C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083391" w14:textId="2E6EEA7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977C84" w:rsidRPr="007E1F1A" w14:paraId="21EB25FD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38BE1ED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Clarence Dry Sclerophyll Forests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67256E" w14:textId="73F251A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3A8C0" w14:textId="558C854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3DCC02" w14:textId="2625BF5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C81EC0" w14:textId="17B0DAC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50842A" w14:textId="50BBC52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977C84" w:rsidRPr="007E1F1A" w14:paraId="2614E289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51D0F95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Coastal Freshwater Lagoons &gt;= 70% and &lt; 90%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BBB91" w14:textId="587570D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878DDB" w14:textId="15CEF6D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59DEC7" w14:textId="1873D36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C4586C" w14:textId="1573686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12928" w14:textId="35C6798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77C84" w:rsidRPr="007E1F1A" w14:paraId="3007D15D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A43771E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Coastal Heath Swamps &lt; 50%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D691A" w14:textId="680B984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5F4EC" w14:textId="391829D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C1B97C" w14:textId="6550AA1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582EA" w14:textId="6D16555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AC460B" w14:textId="7447142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77C84" w:rsidRPr="007E1F1A" w14:paraId="02B70B2F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6F7AD8F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Coastal Saltmarsh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A1972" w14:textId="7DEB60C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F03BB" w14:textId="195D0CD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EE430" w14:textId="502CEBA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04FBAD" w14:textId="762E90D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37E774" w14:textId="665E18E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77C84" w:rsidRPr="007E1F1A" w14:paraId="73A880E1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334CCD6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Coastal Valley Grassy Woodlands &gt;= 70% and &lt; 90%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30183" w14:textId="0E5F190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DF248" w14:textId="58719B7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C47904" w14:textId="75A18DD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36584" w14:textId="6762B19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A7BB5" w14:textId="680716E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977C84" w:rsidRPr="007E1F1A" w14:paraId="2058E8A2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65256F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Coastal Valley Grassy Woodlands &gt;= 90%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9EA2B" w14:textId="79B23C5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793B1B" w14:textId="22F1E4F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D3939" w14:textId="64256D4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92550" w14:textId="48F0C0D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492D3A" w14:textId="75B084C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77C84" w:rsidRPr="007E1F1A" w14:paraId="0A78289C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DE14B2C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Dry Rainforests &lt; 50%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D92EE" w14:textId="4DA680E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A73EC" w14:textId="1AF6BAB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E1F2B" w14:textId="75C926C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E86F7" w14:textId="63C7B6B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CA378" w14:textId="3199FE9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77C84" w:rsidRPr="007E1F1A" w14:paraId="7A3A2EC0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EBA9F72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Eastern Riverine Forests &lt; 50%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3A9CA" w14:textId="1941EDD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567E7" w14:textId="245DFCA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FC143" w14:textId="3E69388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617F5" w14:textId="0EA50F3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1EC12" w14:textId="5BB58AF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77C84" w:rsidRPr="007E1F1A" w14:paraId="4F9D08BC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5206F24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Freshwater Wetlands on Coastal Floodplains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4876D" w14:textId="5E1CF05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DC4827" w14:textId="7173FA5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8B4B1" w14:textId="6DC87B4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C8D0CD" w14:textId="489117C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F34E4" w14:textId="5084D8F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977C84" w:rsidRPr="007E1F1A" w14:paraId="02B233F5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6650284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Illawarra Lowlands grassy woodland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1E6335" w14:textId="745A83A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D0DF9E" w14:textId="2B78EB4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1F7183" w14:textId="72F0073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528282" w14:textId="3336DF7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59FDA" w14:textId="0031374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77C84" w:rsidRPr="007E1F1A" w14:paraId="09F4ACFB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97FF59B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Inland Rocky Hill Woodlands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FDE640" w14:textId="19201CB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76CC6F" w14:textId="2F56FA3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D6277" w14:textId="695D664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07659B" w14:textId="120E76A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D1DC14" w14:textId="7025227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77C84" w:rsidRPr="007E1F1A" w14:paraId="2AA02C62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A9CD820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Littoral Rainforest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1C0D48" w14:textId="5EC8880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364BD6" w14:textId="170E8D1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0831ED" w14:textId="1218CA9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01B21" w14:textId="6B28305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CD8626" w14:textId="3AB51FB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77C84" w:rsidRPr="007E1F1A" w14:paraId="2488438E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DD37781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Lower Hunter Spotted Gum Ironbark Forest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9C69C8" w14:textId="7FE1D69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2CFEF" w14:textId="47D8A56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3FD918" w14:textId="5ECB9BA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83C53" w14:textId="08078B1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EDE05" w14:textId="0A4A49E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</w:tr>
      <w:tr w:rsidR="00977C84" w:rsidRPr="007E1F1A" w14:paraId="79D3CD9B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A9471FC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North Coast Wet Sclerophyll Forests &lt; 50%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58A64" w14:textId="76CF21B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FB00DC" w14:textId="06FC268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CCC4B" w14:textId="03B200B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1620F4" w14:textId="6ABFC94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B03F6" w14:textId="7FAE59C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1,112</w:t>
            </w:r>
          </w:p>
        </w:tc>
      </w:tr>
      <w:tr w:rsidR="00977C84" w:rsidRPr="007E1F1A" w14:paraId="04C1912F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D8399F6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North Coast Wet Sclerophyll Forests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64683" w14:textId="4093525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BE8C2" w14:textId="7E106F3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D13CC" w14:textId="43734E6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4D513A" w14:textId="6293A7E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1E8ED" w14:textId="35758DC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977C84" w:rsidRPr="007E1F1A" w14:paraId="30149E44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0EB7DB0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North Coast Wet Sclerophyll Forests &gt;= 70% and &lt; 90%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17299" w14:textId="1A74130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6311F" w14:textId="21173B8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274E6C" w14:textId="477AC37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86F1B" w14:textId="2B81A89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B51F9" w14:textId="7332212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</w:tr>
      <w:tr w:rsidR="00977C84" w:rsidRPr="007E1F1A" w14:paraId="3D02DCA4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086442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Northern Hinterland Wet Sclerophyll Forests &lt; 50%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AEB61" w14:textId="1BD3523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24B2F1" w14:textId="6EA4F36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F1A510" w14:textId="7039587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5624A9" w14:textId="6A22F54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95D07" w14:textId="5204208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977C84" w:rsidRPr="007E1F1A" w14:paraId="265B6C07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1D7463D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Northern Hinterland Wet Sclerophyll Forests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AE50A7" w14:textId="1DEE846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8DCDF" w14:textId="7EF6A9D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E5EC7" w14:textId="2B8F952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6FD97" w14:textId="4BEB353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B6917" w14:textId="1E58BF7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77C84" w:rsidRPr="007E1F1A" w14:paraId="172548D1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C4C05C3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Northern Warm Temperate Rainforests &lt; 50%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5CCAD" w14:textId="11C2F8C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9E396" w14:textId="367630B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CCA0E" w14:textId="75376A8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906FC0" w14:textId="5094342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1BEB79" w14:textId="5825E4A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977C84" w:rsidRPr="007E1F1A" w14:paraId="7A537698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C6734D3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North-west Floodplain Woodlands &gt;= 70% and &lt; 90%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622D49" w14:textId="1C5D768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030EC" w14:textId="36DB977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19AB0" w14:textId="7973388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81A51" w14:textId="4EDA504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C6811A" w14:textId="692FC09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</w:tr>
      <w:tr w:rsidR="00977C84" w:rsidRPr="007E1F1A" w14:paraId="5C0D2CA0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EF98F3D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River-Flat Eucalypt Forest on Coastal Floodplains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F91842" w14:textId="4C5AC3D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49AFB" w14:textId="3964813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5A6488" w14:textId="00DD5C8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F649C" w14:textId="47B1425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539F26" w14:textId="4E3FE00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</w:tr>
      <w:tr w:rsidR="00977C84" w:rsidRPr="007E1F1A" w14:paraId="1C9EAFC0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075DC55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South East Dry Sclerophyll Forests &gt;= 90%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25310" w14:textId="175CE22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970C5" w14:textId="0C0E599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80057" w14:textId="1BB968B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F21472" w14:textId="3648749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074994" w14:textId="63ABD64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977C84" w:rsidRPr="007E1F1A" w14:paraId="448D580E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EC90B54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Southern Lowland Wet Sclerophyll Forests &lt; 50%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4604B" w14:textId="1D19CCD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F01B9" w14:textId="05386B0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2064C" w14:textId="4E54A51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8879F" w14:textId="6CC07BD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7BBD2" w14:textId="188E935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977C84" w:rsidRPr="007E1F1A" w14:paraId="2CC98E28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D77F915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Southern Tableland Dry Sclerophyll Forests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9B9F53" w14:textId="6255D0A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3C275E" w14:textId="6C64614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F1080" w14:textId="79CFBC4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E8BFB0" w14:textId="6F1F88F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0E9DD3" w14:textId="6125AB6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977C84" w:rsidRPr="007E1F1A" w14:paraId="2FC6D6BF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B5F5A97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Southern Tableland Dry Sclerophyll Forests &gt;= 70% and &lt; 90%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32654" w14:textId="36550D0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822553" w14:textId="6B2010A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EE5EC" w14:textId="673C1C8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2789D8" w14:textId="02A82E1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FE7A8" w14:textId="3474F22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977C84" w:rsidRPr="007E1F1A" w14:paraId="32DC26E8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29387F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Southern Tableland Grassy Woodlands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95B8C" w14:textId="14646B4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9C3A1" w14:textId="7FAF6D8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02D30D" w14:textId="4DF00E6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77237" w14:textId="6B41C13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56F50" w14:textId="5C07CEE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77C84" w:rsidRPr="007E1F1A" w14:paraId="2EFAE182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CD59C3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Southern Tableland Grassy Woodlands &gt;= 70% and &lt; 90%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9729E" w14:textId="141CA05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AEFD01" w14:textId="2C5A3B4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CCE88" w14:textId="7F8697E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FBEF9A" w14:textId="0288BE3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23C9A1" w14:textId="17581DA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977C84" w:rsidRPr="007E1F1A" w14:paraId="14F333FB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9A9FEA8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Swamp Oak Floodplain Forest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9B6958" w14:textId="057251A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5278B" w14:textId="41FF037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AB96B" w14:textId="1A3474B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80101" w14:textId="65E90DA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2B79F9" w14:textId="1902D13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</w:tr>
      <w:tr w:rsidR="00977C84" w:rsidRPr="007E1F1A" w14:paraId="71BF4FDF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11DD4A9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Swamp Sclerophyll Forest on Coastal Floodplains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74453E" w14:textId="4263D11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9119F1" w14:textId="0113E93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9CF1CA" w14:textId="6BAFCFD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F4C369" w14:textId="4475F93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F98065" w14:textId="1CED0A1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1,338</w:t>
            </w:r>
          </w:p>
        </w:tc>
      </w:tr>
      <w:tr w:rsidR="00977C84" w:rsidRPr="007E1F1A" w14:paraId="10A7B619" w14:textId="77777777" w:rsidTr="00A7427C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680C28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Sydney Coastal Dry Sclerophyll Forests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734F8" w14:textId="2C1F4A9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A7F125" w14:textId="0BE8987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DB1D98" w14:textId="0DB50C6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AFB26" w14:textId="5C10152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51E414" w14:textId="6A27DAF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7E1F1A" w:rsidRPr="007E1F1A" w14:paraId="00B24B8C" w14:textId="77777777" w:rsidTr="007E1F1A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 w:themeFill="text1" w:themeFillTint="33"/>
          </w:tcPr>
          <w:p w14:paraId="6DB958E6" w14:textId="77777777" w:rsidR="007E1F1A" w:rsidRPr="007E1F1A" w:rsidRDefault="007E1F1A" w:rsidP="0088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lastRenderedPageBreak/>
              <w:t>Offset Trading Group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 w:themeFill="text1" w:themeFillTint="33"/>
            <w:noWrap/>
          </w:tcPr>
          <w:p w14:paraId="7A946783" w14:textId="60E88180" w:rsidR="007E1F1A" w:rsidRPr="007E1F1A" w:rsidRDefault="007E1F1A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Number of bids accepted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 w:themeFill="text1" w:themeFillTint="33"/>
            <w:noWrap/>
          </w:tcPr>
          <w:p w14:paraId="2A540573" w14:textId="77777777" w:rsidR="007E1F1A" w:rsidRPr="007E1F1A" w:rsidRDefault="007E1F1A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Number of bid credits accepted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 w:themeFill="text1" w:themeFillTint="33"/>
            <w:noWrap/>
          </w:tcPr>
          <w:p w14:paraId="7461E62A" w14:textId="77777777" w:rsidR="007E1F1A" w:rsidRPr="007E1F1A" w:rsidRDefault="007E1F1A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Number of bids not accepted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 w:themeFill="text1" w:themeFillTint="33"/>
            <w:noWrap/>
          </w:tcPr>
          <w:p w14:paraId="6AC7CDD8" w14:textId="77777777" w:rsidR="007E1F1A" w:rsidRPr="007E1F1A" w:rsidRDefault="007E1F1A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Number of bid credits not accepted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 w:themeFill="text1" w:themeFillTint="33"/>
            <w:noWrap/>
          </w:tcPr>
          <w:p w14:paraId="0E30C997" w14:textId="77777777" w:rsidR="007E1F1A" w:rsidRPr="007E1F1A" w:rsidRDefault="007E1F1A" w:rsidP="007E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color w:val="000000"/>
                <w:szCs w:val="20"/>
                <w:lang w:val="en-AU" w:eastAsia="en-AU"/>
              </w:rPr>
              <w:t>Total number of bid credits</w:t>
            </w:r>
          </w:p>
        </w:tc>
      </w:tr>
      <w:tr w:rsidR="00977C84" w:rsidRPr="007E1F1A" w14:paraId="010A848D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D01A70A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Sydney Hinterland Dry Sclerophyll Forests &gt;= 50% and &lt; 70% cleared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1E8D4" w14:textId="662E8A4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DB75A" w14:textId="23120B5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6FC33A" w14:textId="66356B7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13F24" w14:textId="27EE868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003552" w14:textId="36921AC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977C84" w:rsidRPr="007E1F1A" w14:paraId="2C039981" w14:textId="77777777" w:rsidTr="00D2081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3843908" w14:textId="43F5A9FC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Sydney Sand Flats Dry Sclerophyll Forests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8CCD96" w14:textId="04A653F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EB7C517" w14:textId="2F5D5D7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10D5C6" w14:textId="6FB3137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FE605A4" w14:textId="77EB743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6732FF5" w14:textId="0FFF660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977C84" w:rsidRPr="007E1F1A" w14:paraId="63D08D34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B8BCF25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Temperate Montane Grasslands &gt;= 90%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68195" w14:textId="139ADC2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5E683" w14:textId="05AA2AC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92CAF" w14:textId="44AEA91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405BF" w14:textId="4C158C6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D57DD" w14:textId="32305E2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77C84" w:rsidRPr="007E1F1A" w14:paraId="6D9FA1F9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2C5EE83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Upper Riverina Dry Sclerophyll Forests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5C03A4" w14:textId="3D1FEDE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045B34" w14:textId="1344EF5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2BD5AB" w14:textId="4A7315F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B10406" w14:textId="5679494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41A3E" w14:textId="1A97B84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</w:tr>
      <w:tr w:rsidR="00977C84" w:rsidRPr="007E1F1A" w14:paraId="541B75C8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15CB6A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Werriwa Tablelands Cool Temperate Grassy Woodland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296204" w14:textId="76AFA34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242B7" w14:textId="0C2F7DE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64BB5" w14:textId="5671C5B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347E1" w14:textId="764422F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195695" w14:textId="38142CE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977C84" w:rsidRPr="007E1F1A" w14:paraId="56D91D9F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C8269D3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Western Slopes Dry Sclerophyll Forests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29A44" w14:textId="0DDA829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52202" w14:textId="743B15B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67194" w14:textId="72D3F5F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02636" w14:textId="7EE5391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F6D1BD" w14:textId="3FEA414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977C84" w:rsidRPr="007E1F1A" w14:paraId="58FBEBAD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522E0F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Western Slopes Grassy Woodlands &gt;= 50% and &lt; 70% cleared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BDD25D" w14:textId="437591B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BF640" w14:textId="6F33BCA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62E57E" w14:textId="496FFF7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AF05D" w14:textId="502B8B2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3CE3E" w14:textId="1233675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977C84" w:rsidRPr="007E1F1A" w14:paraId="045E051C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8D2CCE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White Box - Yellow Box - Blakely's Red Gum Grassy Woodland TEC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FCB652" w14:textId="5F0B4C9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B5FAD" w14:textId="36B91CB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23B4D" w14:textId="24CA4D5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9CF71" w14:textId="5DB4C54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47ED0F" w14:textId="6BCA87E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3,951</w:t>
            </w:r>
          </w:p>
        </w:tc>
      </w:tr>
      <w:tr w:rsidR="00977C84" w:rsidRPr="007E1F1A" w14:paraId="7842D2D7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25F6C08A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Species Credits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453EE9" w14:textId="40FF880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8B1CC7" w14:textId="279802C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4,906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DBD79B" w14:textId="04B18DD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EB42EF" w14:textId="1B213BC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5,991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737455" w14:textId="7CD1AB9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10,897</w:t>
            </w:r>
          </w:p>
        </w:tc>
      </w:tr>
      <w:tr w:rsidR="00977C84" w:rsidRPr="007E1F1A" w14:paraId="7B09117F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69F8CE0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Anthochaera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phrygia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(Regent Honeyeater)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1EC3023" w14:textId="176CAE8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FF827B" w14:textId="3EF3B02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3DABBB" w14:textId="0AE2F64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5F2194C" w14:textId="3700A06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C155E6" w14:textId="36BB7FD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</w:tr>
      <w:tr w:rsidR="00977C84" w:rsidRPr="007E1F1A" w14:paraId="3843345B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5F13724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Aprasia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parapulchella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(Pink-tailed Legless Lizard)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DD1940" w14:textId="5323643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1E766F" w14:textId="71A810A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B22D0E" w14:textId="6A8F90E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775CC9" w14:textId="4523028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2F57AC" w14:textId="3423723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977C84" w:rsidRPr="007E1F1A" w14:paraId="69DD26A4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53C5CDB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Callistemon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linearifolius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(Netted Bottle Brush)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C2F035" w14:textId="7872274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86195E" w14:textId="4F36611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87E539" w14:textId="1092968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71666A" w14:textId="7FED711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72DEE0" w14:textId="604667F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977C84" w:rsidRPr="007E1F1A" w14:paraId="5F0753DC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42057BD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Cercartetus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nanus (Eastern Pygmy-possum)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D2D8A8" w14:textId="08DCB16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CE8D8D" w14:textId="76A72B1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196956" w14:textId="56F74C0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EADFAF" w14:textId="5B83B64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941571" w14:textId="3DB02F6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</w:tr>
      <w:tr w:rsidR="00977C84" w:rsidRPr="007E1F1A" w14:paraId="3138A1B8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7290786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Chalinolobus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dwyeri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(Large-eared Pied Bat)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126909" w14:textId="21AFFCD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545171" w14:textId="0287431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C5275B" w14:textId="743B2AA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839698" w14:textId="4AC24F8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34F21A" w14:textId="18100B3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977C84" w:rsidRPr="007E1F1A" w14:paraId="278B35CB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4A0DFB7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Crinia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tinnula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(Wallum Froglet)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B36173" w14:textId="3CC5F2F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AE36D2" w14:textId="2AC86DD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79D90D" w14:textId="7A575BE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889B7F" w14:textId="240654D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C20D75" w14:textId="5BFE3FD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77C84" w:rsidRPr="007E1F1A" w14:paraId="4A67057B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29B82FE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Grevillea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juniperina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subsp.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juniperina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(Juniper-leaved Grevillea)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FD005F" w14:textId="2F9DC63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041BE4" w14:textId="0B68F48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AF02CC" w14:textId="7411E94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0B2772" w14:textId="33B76F1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F52A5E" w14:textId="490B89C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977C84" w:rsidRPr="007E1F1A" w14:paraId="2C98D514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D4A1566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Litoria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brevipalmata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(Green-thighed Frog)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23E277" w14:textId="13636E6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B3C52C" w14:textId="053F74E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A00FEF" w14:textId="0A5A1B2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9033B2" w14:textId="39ECB18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1BEE7C" w14:textId="0FFE9FD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77C84" w:rsidRPr="007E1F1A" w14:paraId="2CF608DD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E33256C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Meridolum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corneovirens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(Cumberland Plain Land Snail)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2F932E" w14:textId="7BCE18C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2DF167" w14:textId="1167640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92BDE7" w14:textId="77A07DC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8C3DAE" w14:textId="26309DF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27124E" w14:textId="33F4063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977C84" w:rsidRPr="007E1F1A" w14:paraId="0CDC6773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5BEC78B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Myotis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macropus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(Southern Myotis)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FA27B8" w14:textId="428CE1C6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D27A03" w14:textId="737F523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9F9976" w14:textId="6033845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CF0B92" w14:textId="73370A0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FBD9B9" w14:textId="141D9672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</w:t>
            </w:r>
          </w:p>
        </w:tc>
      </w:tr>
      <w:tr w:rsidR="00977C84" w:rsidRPr="007E1F1A" w14:paraId="0C43DA61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E796710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Petaurus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norfolcensis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(Squirrel Glider)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73CB2C" w14:textId="6D28194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462249" w14:textId="7C9F32D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9E396A" w14:textId="431BD40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0D6AC2" w14:textId="29BAC8D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C54062" w14:textId="6EA93EF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5,838</w:t>
            </w:r>
          </w:p>
        </w:tc>
      </w:tr>
      <w:tr w:rsidR="00977C84" w:rsidRPr="007E1F1A" w14:paraId="5C003B4C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21D687F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Phascolarctos cinereus (Koala)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3E9EE3" w14:textId="1993671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6240A2" w14:textId="492106E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565C58" w14:textId="0FC2557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217F7A" w14:textId="75B3EFF3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242730" w14:textId="1FA9A040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3,466</w:t>
            </w:r>
          </w:p>
        </w:tc>
      </w:tr>
      <w:tr w:rsidR="00977C84" w:rsidRPr="007E1F1A" w14:paraId="219B1C48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FEFAACE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Swainsona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sericea (Silky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Swainson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-pea)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784C4B" w14:textId="38E19ED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13C093" w14:textId="562767A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CF8D76" w14:textId="31BC239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72BB57" w14:textId="650CA37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89B96B" w14:textId="3D4EFC6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</w:tr>
      <w:tr w:rsidR="00977C84" w:rsidRPr="007E1F1A" w14:paraId="5BB95D97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698CAE6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Synemon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plana (Golden Sun Moth)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ACC41A" w14:textId="603C1814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EBFE87" w14:textId="3F00725F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9035CA" w14:textId="4F7534A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6C81C9" w14:textId="63C15A3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BC0285" w14:textId="268C7735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77C84" w:rsidRPr="007E1F1A" w14:paraId="7DA421AC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1484950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Thesium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australe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(Austral Toadflax)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D316BA2" w14:textId="1EE12B2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FB2381" w14:textId="54793A3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8DFD3B" w14:textId="2E35C9D9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389388" w14:textId="53AB10F1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808CBE" w14:textId="473B2B8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977C84" w:rsidRPr="007E1F1A" w14:paraId="1C63DBF5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CACBCB9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Uvidicolus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>sphyrurus</w:t>
            </w:r>
            <w:proofErr w:type="spellEnd"/>
            <w:r w:rsidRPr="007E1F1A"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  <w:t xml:space="preserve"> (Border Thick-tailed Gecko)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D0B4CA" w14:textId="229777F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B469F9" w14:textId="0B14ECF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523EF7" w14:textId="2A133C38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464479" w14:textId="2C11001D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BDBF62" w14:textId="157D7BCE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977C84" w:rsidRPr="007E1F1A" w14:paraId="5420D697" w14:textId="77777777" w:rsidTr="00D2081B">
        <w:trPr>
          <w:trHeight w:val="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FA192D" w14:textId="77777777" w:rsidR="00977C84" w:rsidRPr="007E1F1A" w:rsidRDefault="00977C84" w:rsidP="0097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 w:rsidRPr="007E1F1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  <w:t>Grand Total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A49EA7" w14:textId="447D20A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673533" w14:textId="4101A5BB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7,073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70B8C6" w14:textId="1876E97C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6D5634" w14:textId="23870567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13,322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90CD4D" w14:textId="39F32B7A" w:rsidR="00977C84" w:rsidRPr="007E1F1A" w:rsidRDefault="00977C84" w:rsidP="0097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20,395</w:t>
            </w:r>
          </w:p>
        </w:tc>
      </w:tr>
    </w:tbl>
    <w:p w14:paraId="0B5FB248" w14:textId="77777777" w:rsidR="00D169D5" w:rsidRDefault="00D169D5" w:rsidP="00EB6A1E">
      <w:pPr>
        <w:rPr>
          <w:lang w:val="en-AU"/>
        </w:rPr>
      </w:pPr>
    </w:p>
    <w:sectPr w:rsidR="00D169D5" w:rsidSect="002B1E7F">
      <w:pgSz w:w="11900" w:h="16840"/>
      <w:pgMar w:top="1440" w:right="1440" w:bottom="1440" w:left="851" w:header="709" w:footer="709" w:gutter="0"/>
      <w:cols w:space="708"/>
      <w:docGrid w:linePitch="4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2">
      <wne:acd wne:acdName="acd0"/>
    </wne:keymap>
    <wne:keymap wne:kcmPrimary="0163">
      <wne:acd wne:acdName="acd1"/>
    </wne:keymap>
    <wne:keymap wne:kcmPrimary="0164">
      <wne:acd wne:acdName="acd3"/>
    </wne:keymap>
    <wne:keymap wne:kcmPrimary="0165">
      <wne:acd wne:acdName="acd4"/>
    </wne:keymap>
    <wne:keymap wne:kcmPrimary="0168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MA" wne:acdName="acd1" wne:fciIndexBasedOn="0065"/>
    <wne:acd wne:argValue="AQAAADAA" wne:acdName="acd2" wne:fciIndexBasedOn="0065"/>
    <wne:acd wne:argValue="AQAAAAQA" wne:acdName="acd3" wne:fciIndexBasedOn="0065"/>
    <wne:acd wne:argValue="AgBQAHUAbABsAG8AdQB0A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51B0" w14:textId="77777777" w:rsidR="00810C3D" w:rsidRDefault="00810C3D" w:rsidP="008049DC">
      <w:pPr>
        <w:spacing w:after="0" w:line="240" w:lineRule="auto"/>
      </w:pPr>
      <w:r>
        <w:separator/>
      </w:r>
    </w:p>
  </w:endnote>
  <w:endnote w:type="continuationSeparator" w:id="0">
    <w:p w14:paraId="39206B4C" w14:textId="77777777" w:rsidR="00810C3D" w:rsidRDefault="00810C3D" w:rsidP="0080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336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9B58D7" w14:textId="77777777" w:rsidR="001630D0" w:rsidRDefault="001630D0" w:rsidP="004445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AC1555" w14:textId="77777777" w:rsidR="001630D0" w:rsidRDefault="001630D0" w:rsidP="008049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2386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9CE544" w14:textId="65ACDF1C" w:rsidR="001630D0" w:rsidRDefault="001630D0" w:rsidP="004445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6141C25" w14:textId="31807CE5" w:rsidR="001630D0" w:rsidRPr="008049DC" w:rsidRDefault="00D169D5" w:rsidP="008049DC">
    <w:pPr>
      <w:pStyle w:val="Footer"/>
      <w:ind w:right="360"/>
      <w:rPr>
        <w:lang w:val="en-AU"/>
      </w:rPr>
    </w:pPr>
    <w:r>
      <w:rPr>
        <w:b/>
        <w:bCs/>
        <w:lang w:val="en-AU"/>
      </w:rPr>
      <w:t xml:space="preserve">Outcomes report for </w:t>
    </w:r>
    <w:r w:rsidR="001630D0">
      <w:rPr>
        <w:b/>
        <w:bCs/>
        <w:lang w:val="en-AU"/>
      </w:rPr>
      <w:t xml:space="preserve">the </w:t>
    </w:r>
    <w:r w:rsidR="00F73829">
      <w:rPr>
        <w:b/>
        <w:bCs/>
        <w:lang w:val="en-AU"/>
      </w:rPr>
      <w:t xml:space="preserve">September 2022 </w:t>
    </w:r>
    <w:r w:rsidR="00F73829">
      <w:rPr>
        <w:b/>
        <w:bCs/>
        <w:lang w:val="en-AU"/>
      </w:rPr>
      <w:t xml:space="preserve">Statewide </w:t>
    </w:r>
    <w:r w:rsidR="001630D0">
      <w:rPr>
        <w:b/>
        <w:bCs/>
        <w:lang w:val="en-AU"/>
      </w:rPr>
      <w:t>Credit Tender</w:t>
    </w:r>
    <w:r w:rsidR="001630D0">
      <w:rPr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C22D" w14:textId="77777777" w:rsidR="00810C3D" w:rsidRDefault="00810C3D" w:rsidP="008049DC">
      <w:pPr>
        <w:spacing w:after="0" w:line="240" w:lineRule="auto"/>
      </w:pPr>
      <w:r>
        <w:separator/>
      </w:r>
    </w:p>
  </w:footnote>
  <w:footnote w:type="continuationSeparator" w:id="0">
    <w:p w14:paraId="4624A5FF" w14:textId="77777777" w:rsidR="00810C3D" w:rsidRDefault="00810C3D" w:rsidP="008049DC">
      <w:pPr>
        <w:spacing w:after="0" w:line="240" w:lineRule="auto"/>
      </w:pPr>
      <w:r>
        <w:continuationSeparator/>
      </w:r>
    </w:p>
  </w:footnote>
  <w:footnote w:id="1">
    <w:p w14:paraId="0F5FEA02" w14:textId="5A7FD89C" w:rsidR="005F0A01" w:rsidRPr="005F0A01" w:rsidRDefault="005F0A0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9A3BA9">
        <w:rPr>
          <w:sz w:val="18"/>
          <w:szCs w:val="18"/>
        </w:rPr>
        <w:t xml:space="preserve">‘IBRA’ </w:t>
      </w:r>
      <w:r w:rsidRPr="009A3BA9">
        <w:rPr>
          <w:sz w:val="18"/>
          <w:szCs w:val="18"/>
          <w:lang w:val="en-AU"/>
        </w:rPr>
        <w:t xml:space="preserve">refers to </w:t>
      </w:r>
      <w:r w:rsidRPr="009A3BA9">
        <w:rPr>
          <w:rFonts w:cstheme="minorHAnsi"/>
          <w:sz w:val="18"/>
          <w:szCs w:val="18"/>
        </w:rPr>
        <w:t>Interim Biogeographic Regionalisation of Australia</w:t>
      </w:r>
      <w:r>
        <w:rPr>
          <w:rFonts w:cstheme="minorHAnsi"/>
          <w:sz w:val="18"/>
          <w:szCs w:val="18"/>
        </w:rPr>
        <w:t>.</w:t>
      </w:r>
      <w:r w:rsidRPr="009A3BA9">
        <w:rPr>
          <w:rFonts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B478" w14:textId="277A86F3" w:rsidR="001630D0" w:rsidRPr="005D17C3" w:rsidRDefault="001630D0" w:rsidP="00EB0E05">
    <w:pPr>
      <w:pStyle w:val="Header"/>
      <w:jc w:val="center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CE62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FAD67DCA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F39000" w:themeColor="accent3"/>
      </w:rPr>
    </w:lvl>
  </w:abstractNum>
  <w:abstractNum w:abstractNumId="2" w15:restartNumberingAfterBreak="0">
    <w:nsid w:val="0567639D"/>
    <w:multiLevelType w:val="hybridMultilevel"/>
    <w:tmpl w:val="066EEE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1DF9"/>
    <w:multiLevelType w:val="hybridMultilevel"/>
    <w:tmpl w:val="339A0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1732"/>
    <w:multiLevelType w:val="hybridMultilevel"/>
    <w:tmpl w:val="C322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5E7A"/>
    <w:multiLevelType w:val="hybridMultilevel"/>
    <w:tmpl w:val="959AC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82B65"/>
    <w:multiLevelType w:val="hybridMultilevel"/>
    <w:tmpl w:val="FBFE01A6"/>
    <w:lvl w:ilvl="0" w:tplc="0C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 w15:restartNumberingAfterBreak="0">
    <w:nsid w:val="10D73974"/>
    <w:multiLevelType w:val="hybridMultilevel"/>
    <w:tmpl w:val="BA72560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480F08"/>
    <w:multiLevelType w:val="multilevel"/>
    <w:tmpl w:val="46C67E1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AF27AF"/>
    <w:multiLevelType w:val="hybridMultilevel"/>
    <w:tmpl w:val="55785DFE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36E78FF"/>
    <w:multiLevelType w:val="hybridMultilevel"/>
    <w:tmpl w:val="9C48F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19B7"/>
    <w:multiLevelType w:val="hybridMultilevel"/>
    <w:tmpl w:val="74EC0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15FC6"/>
    <w:multiLevelType w:val="hybridMultilevel"/>
    <w:tmpl w:val="EA822F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B1924"/>
    <w:multiLevelType w:val="hybridMultilevel"/>
    <w:tmpl w:val="46AA3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16FE2"/>
    <w:multiLevelType w:val="hybridMultilevel"/>
    <w:tmpl w:val="1512C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92A75"/>
    <w:multiLevelType w:val="multilevel"/>
    <w:tmpl w:val="2136825A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3A12073D"/>
    <w:multiLevelType w:val="hybridMultilevel"/>
    <w:tmpl w:val="D876B1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76D4"/>
    <w:multiLevelType w:val="hybridMultilevel"/>
    <w:tmpl w:val="066EEE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D583C"/>
    <w:multiLevelType w:val="hybridMultilevel"/>
    <w:tmpl w:val="9C98F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C7626"/>
    <w:multiLevelType w:val="hybridMultilevel"/>
    <w:tmpl w:val="FE14D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A878AE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B3FF6"/>
    <w:multiLevelType w:val="hybridMultilevel"/>
    <w:tmpl w:val="FEF826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C2B83"/>
    <w:multiLevelType w:val="hybridMultilevel"/>
    <w:tmpl w:val="D398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24AC5"/>
    <w:multiLevelType w:val="hybridMultilevel"/>
    <w:tmpl w:val="739E1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211A05"/>
    <w:multiLevelType w:val="hybridMultilevel"/>
    <w:tmpl w:val="E4C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266"/>
    <w:multiLevelType w:val="hybridMultilevel"/>
    <w:tmpl w:val="63B22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D1146"/>
    <w:multiLevelType w:val="hybridMultilevel"/>
    <w:tmpl w:val="D1F41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E0541"/>
    <w:multiLevelType w:val="hybridMultilevel"/>
    <w:tmpl w:val="95660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725C5"/>
    <w:multiLevelType w:val="hybridMultilevel"/>
    <w:tmpl w:val="FEF826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47CBC"/>
    <w:multiLevelType w:val="hybridMultilevel"/>
    <w:tmpl w:val="659C7476"/>
    <w:lvl w:ilvl="0" w:tplc="45CC1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C4384"/>
    <w:multiLevelType w:val="hybridMultilevel"/>
    <w:tmpl w:val="B17430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3720C"/>
    <w:multiLevelType w:val="hybridMultilevel"/>
    <w:tmpl w:val="EA822F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54978"/>
    <w:multiLevelType w:val="hybridMultilevel"/>
    <w:tmpl w:val="720A8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4373B"/>
    <w:multiLevelType w:val="hybridMultilevel"/>
    <w:tmpl w:val="026E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2"/>
  </w:num>
  <w:num w:numId="4">
    <w:abstractNumId w:val="22"/>
  </w:num>
  <w:num w:numId="5">
    <w:abstractNumId w:val="11"/>
  </w:num>
  <w:num w:numId="6">
    <w:abstractNumId w:val="24"/>
  </w:num>
  <w:num w:numId="7">
    <w:abstractNumId w:val="23"/>
  </w:num>
  <w:num w:numId="8">
    <w:abstractNumId w:val="8"/>
  </w:num>
  <w:num w:numId="9">
    <w:abstractNumId w:val="19"/>
  </w:num>
  <w:num w:numId="10">
    <w:abstractNumId w:val="6"/>
  </w:num>
  <w:num w:numId="11">
    <w:abstractNumId w:val="5"/>
  </w:num>
  <w:num w:numId="12">
    <w:abstractNumId w:val="29"/>
  </w:num>
  <w:num w:numId="13">
    <w:abstractNumId w:val="28"/>
  </w:num>
  <w:num w:numId="14">
    <w:abstractNumId w:val="18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2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1"/>
  </w:num>
  <w:num w:numId="23">
    <w:abstractNumId w:val="14"/>
  </w:num>
  <w:num w:numId="24">
    <w:abstractNumId w:val="2"/>
  </w:num>
  <w:num w:numId="25">
    <w:abstractNumId w:val="7"/>
  </w:num>
  <w:num w:numId="26">
    <w:abstractNumId w:val="17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10"/>
  </w:num>
  <w:num w:numId="32">
    <w:abstractNumId w:val="25"/>
  </w:num>
  <w:num w:numId="33">
    <w:abstractNumId w:val="4"/>
  </w:num>
  <w:num w:numId="34">
    <w:abstractNumId w:val="3"/>
  </w:num>
  <w:num w:numId="3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B3"/>
    <w:rsid w:val="00000DAB"/>
    <w:rsid w:val="0000220C"/>
    <w:rsid w:val="00002368"/>
    <w:rsid w:val="000025E9"/>
    <w:rsid w:val="00004E21"/>
    <w:rsid w:val="000051B6"/>
    <w:rsid w:val="00007A12"/>
    <w:rsid w:val="00007EBE"/>
    <w:rsid w:val="00014DEB"/>
    <w:rsid w:val="00020B40"/>
    <w:rsid w:val="00020CD5"/>
    <w:rsid w:val="00031875"/>
    <w:rsid w:val="00031926"/>
    <w:rsid w:val="00033EAF"/>
    <w:rsid w:val="00034FFD"/>
    <w:rsid w:val="00037080"/>
    <w:rsid w:val="00037F34"/>
    <w:rsid w:val="000413EC"/>
    <w:rsid w:val="000419CA"/>
    <w:rsid w:val="00043394"/>
    <w:rsid w:val="000439C8"/>
    <w:rsid w:val="0004504A"/>
    <w:rsid w:val="00050BD7"/>
    <w:rsid w:val="000515B5"/>
    <w:rsid w:val="00051F5B"/>
    <w:rsid w:val="00057380"/>
    <w:rsid w:val="000632A8"/>
    <w:rsid w:val="00063BBE"/>
    <w:rsid w:val="000655D3"/>
    <w:rsid w:val="00065DE2"/>
    <w:rsid w:val="000662C9"/>
    <w:rsid w:val="000703B8"/>
    <w:rsid w:val="000718B6"/>
    <w:rsid w:val="00072DC2"/>
    <w:rsid w:val="000749AE"/>
    <w:rsid w:val="00075CDC"/>
    <w:rsid w:val="00081750"/>
    <w:rsid w:val="00086172"/>
    <w:rsid w:val="00087F25"/>
    <w:rsid w:val="00090817"/>
    <w:rsid w:val="00090BE7"/>
    <w:rsid w:val="000915F1"/>
    <w:rsid w:val="00096C63"/>
    <w:rsid w:val="000A2D91"/>
    <w:rsid w:val="000A5509"/>
    <w:rsid w:val="000A6040"/>
    <w:rsid w:val="000B17CB"/>
    <w:rsid w:val="000B2E97"/>
    <w:rsid w:val="000B3D98"/>
    <w:rsid w:val="000B79DA"/>
    <w:rsid w:val="000B7CE0"/>
    <w:rsid w:val="000C17C3"/>
    <w:rsid w:val="000C3440"/>
    <w:rsid w:val="000C3537"/>
    <w:rsid w:val="000D024D"/>
    <w:rsid w:val="000D4BE9"/>
    <w:rsid w:val="000D6493"/>
    <w:rsid w:val="000D6B36"/>
    <w:rsid w:val="000D7BEE"/>
    <w:rsid w:val="000E2990"/>
    <w:rsid w:val="000F0A94"/>
    <w:rsid w:val="000F5B63"/>
    <w:rsid w:val="000F6722"/>
    <w:rsid w:val="00100FA9"/>
    <w:rsid w:val="00102006"/>
    <w:rsid w:val="00102091"/>
    <w:rsid w:val="00102A1E"/>
    <w:rsid w:val="00103620"/>
    <w:rsid w:val="00103D29"/>
    <w:rsid w:val="00111351"/>
    <w:rsid w:val="001267FD"/>
    <w:rsid w:val="00126A5E"/>
    <w:rsid w:val="00127CEB"/>
    <w:rsid w:val="0013058D"/>
    <w:rsid w:val="00134683"/>
    <w:rsid w:val="00134F2A"/>
    <w:rsid w:val="00135FED"/>
    <w:rsid w:val="00142313"/>
    <w:rsid w:val="0015040D"/>
    <w:rsid w:val="00151656"/>
    <w:rsid w:val="001532DD"/>
    <w:rsid w:val="00160F0D"/>
    <w:rsid w:val="00161177"/>
    <w:rsid w:val="00161442"/>
    <w:rsid w:val="00162EC6"/>
    <w:rsid w:val="001630D0"/>
    <w:rsid w:val="0016387C"/>
    <w:rsid w:val="00166081"/>
    <w:rsid w:val="0017354A"/>
    <w:rsid w:val="00173A80"/>
    <w:rsid w:val="0017443A"/>
    <w:rsid w:val="001863F8"/>
    <w:rsid w:val="00186854"/>
    <w:rsid w:val="001874E3"/>
    <w:rsid w:val="001905ED"/>
    <w:rsid w:val="00192484"/>
    <w:rsid w:val="00193365"/>
    <w:rsid w:val="00196B01"/>
    <w:rsid w:val="00197547"/>
    <w:rsid w:val="00197C2A"/>
    <w:rsid w:val="001A06F3"/>
    <w:rsid w:val="001A3643"/>
    <w:rsid w:val="001A3FC7"/>
    <w:rsid w:val="001A514A"/>
    <w:rsid w:val="001A5B04"/>
    <w:rsid w:val="001B3C1F"/>
    <w:rsid w:val="001C17C5"/>
    <w:rsid w:val="001C528B"/>
    <w:rsid w:val="001C7686"/>
    <w:rsid w:val="001C77EF"/>
    <w:rsid w:val="001D22DF"/>
    <w:rsid w:val="001D3659"/>
    <w:rsid w:val="001D759F"/>
    <w:rsid w:val="001E2B8D"/>
    <w:rsid w:val="001F0E14"/>
    <w:rsid w:val="001F156C"/>
    <w:rsid w:val="001F3CB9"/>
    <w:rsid w:val="001F40F3"/>
    <w:rsid w:val="001F423D"/>
    <w:rsid w:val="001F52BE"/>
    <w:rsid w:val="001F536B"/>
    <w:rsid w:val="001F5E1E"/>
    <w:rsid w:val="001F61A5"/>
    <w:rsid w:val="00201047"/>
    <w:rsid w:val="00203A16"/>
    <w:rsid w:val="002043CF"/>
    <w:rsid w:val="00204557"/>
    <w:rsid w:val="00204863"/>
    <w:rsid w:val="00210111"/>
    <w:rsid w:val="00210A39"/>
    <w:rsid w:val="0021325E"/>
    <w:rsid w:val="00221F45"/>
    <w:rsid w:val="00222D45"/>
    <w:rsid w:val="0022349B"/>
    <w:rsid w:val="00225C09"/>
    <w:rsid w:val="002266FE"/>
    <w:rsid w:val="00227CBB"/>
    <w:rsid w:val="00235CEE"/>
    <w:rsid w:val="00235F6F"/>
    <w:rsid w:val="00240E4E"/>
    <w:rsid w:val="00241983"/>
    <w:rsid w:val="002423F3"/>
    <w:rsid w:val="002451C6"/>
    <w:rsid w:val="00245B5E"/>
    <w:rsid w:val="002513B6"/>
    <w:rsid w:val="002529C6"/>
    <w:rsid w:val="00260CAF"/>
    <w:rsid w:val="00262C48"/>
    <w:rsid w:val="0026350C"/>
    <w:rsid w:val="00263A94"/>
    <w:rsid w:val="00265D84"/>
    <w:rsid w:val="00270148"/>
    <w:rsid w:val="00272329"/>
    <w:rsid w:val="0027516E"/>
    <w:rsid w:val="0027698A"/>
    <w:rsid w:val="00277DF2"/>
    <w:rsid w:val="00277FEA"/>
    <w:rsid w:val="002830AC"/>
    <w:rsid w:val="00283B91"/>
    <w:rsid w:val="002845C8"/>
    <w:rsid w:val="00287350"/>
    <w:rsid w:val="002903BA"/>
    <w:rsid w:val="002907AC"/>
    <w:rsid w:val="00295404"/>
    <w:rsid w:val="00296451"/>
    <w:rsid w:val="00296BC6"/>
    <w:rsid w:val="00296E9C"/>
    <w:rsid w:val="002A1A58"/>
    <w:rsid w:val="002A1E4C"/>
    <w:rsid w:val="002A2FE9"/>
    <w:rsid w:val="002A5777"/>
    <w:rsid w:val="002A6AC0"/>
    <w:rsid w:val="002A770C"/>
    <w:rsid w:val="002A79D0"/>
    <w:rsid w:val="002B0681"/>
    <w:rsid w:val="002B18AA"/>
    <w:rsid w:val="002B1E7F"/>
    <w:rsid w:val="002B35B9"/>
    <w:rsid w:val="002B5AC5"/>
    <w:rsid w:val="002B5B83"/>
    <w:rsid w:val="002C37AD"/>
    <w:rsid w:val="002C4634"/>
    <w:rsid w:val="002C63E8"/>
    <w:rsid w:val="002C7694"/>
    <w:rsid w:val="002C7B65"/>
    <w:rsid w:val="002D399E"/>
    <w:rsid w:val="002D40FE"/>
    <w:rsid w:val="002D5989"/>
    <w:rsid w:val="002E08CB"/>
    <w:rsid w:val="002E3771"/>
    <w:rsid w:val="002E40FB"/>
    <w:rsid w:val="002E6372"/>
    <w:rsid w:val="002E6893"/>
    <w:rsid w:val="002F02C1"/>
    <w:rsid w:val="002F08B6"/>
    <w:rsid w:val="002F126D"/>
    <w:rsid w:val="002F3FBA"/>
    <w:rsid w:val="00301691"/>
    <w:rsid w:val="0030204F"/>
    <w:rsid w:val="00302835"/>
    <w:rsid w:val="00302EFE"/>
    <w:rsid w:val="00305029"/>
    <w:rsid w:val="00310EA9"/>
    <w:rsid w:val="00312D02"/>
    <w:rsid w:val="0031354B"/>
    <w:rsid w:val="003148BB"/>
    <w:rsid w:val="00314B5D"/>
    <w:rsid w:val="00326505"/>
    <w:rsid w:val="003309E4"/>
    <w:rsid w:val="00331C42"/>
    <w:rsid w:val="003339BB"/>
    <w:rsid w:val="0033793A"/>
    <w:rsid w:val="00337DF8"/>
    <w:rsid w:val="00340B12"/>
    <w:rsid w:val="0034389C"/>
    <w:rsid w:val="00346B49"/>
    <w:rsid w:val="0034711E"/>
    <w:rsid w:val="003477B9"/>
    <w:rsid w:val="003519DC"/>
    <w:rsid w:val="00352B33"/>
    <w:rsid w:val="003658EC"/>
    <w:rsid w:val="00366A40"/>
    <w:rsid w:val="00372451"/>
    <w:rsid w:val="00373152"/>
    <w:rsid w:val="0037459F"/>
    <w:rsid w:val="00377F1A"/>
    <w:rsid w:val="00380146"/>
    <w:rsid w:val="00380A0E"/>
    <w:rsid w:val="00380B61"/>
    <w:rsid w:val="003814D2"/>
    <w:rsid w:val="003828C4"/>
    <w:rsid w:val="0038296D"/>
    <w:rsid w:val="00383B14"/>
    <w:rsid w:val="003844B9"/>
    <w:rsid w:val="00385076"/>
    <w:rsid w:val="003858F2"/>
    <w:rsid w:val="00385E25"/>
    <w:rsid w:val="003900D9"/>
    <w:rsid w:val="003902AD"/>
    <w:rsid w:val="00390DA3"/>
    <w:rsid w:val="00390F08"/>
    <w:rsid w:val="00392926"/>
    <w:rsid w:val="003937D8"/>
    <w:rsid w:val="00397D0F"/>
    <w:rsid w:val="003A0DE5"/>
    <w:rsid w:val="003A1ACE"/>
    <w:rsid w:val="003A3AF8"/>
    <w:rsid w:val="003A4A07"/>
    <w:rsid w:val="003A551E"/>
    <w:rsid w:val="003B024B"/>
    <w:rsid w:val="003B0FD0"/>
    <w:rsid w:val="003B1D33"/>
    <w:rsid w:val="003B4428"/>
    <w:rsid w:val="003B6829"/>
    <w:rsid w:val="003B7857"/>
    <w:rsid w:val="003C019E"/>
    <w:rsid w:val="003C7C7B"/>
    <w:rsid w:val="003D0162"/>
    <w:rsid w:val="003D357D"/>
    <w:rsid w:val="003D6B54"/>
    <w:rsid w:val="003E094A"/>
    <w:rsid w:val="003E1006"/>
    <w:rsid w:val="003E5FAC"/>
    <w:rsid w:val="003E6854"/>
    <w:rsid w:val="003E69A3"/>
    <w:rsid w:val="003E6F97"/>
    <w:rsid w:val="003E7A15"/>
    <w:rsid w:val="003F413E"/>
    <w:rsid w:val="003F62D3"/>
    <w:rsid w:val="003F68A6"/>
    <w:rsid w:val="0040012F"/>
    <w:rsid w:val="00402607"/>
    <w:rsid w:val="004040BB"/>
    <w:rsid w:val="00407035"/>
    <w:rsid w:val="00407E0F"/>
    <w:rsid w:val="00407E7B"/>
    <w:rsid w:val="00411DB2"/>
    <w:rsid w:val="004127B9"/>
    <w:rsid w:val="004131D7"/>
    <w:rsid w:val="004204D4"/>
    <w:rsid w:val="00420C70"/>
    <w:rsid w:val="00421CB4"/>
    <w:rsid w:val="00422C26"/>
    <w:rsid w:val="00423D1E"/>
    <w:rsid w:val="004246F4"/>
    <w:rsid w:val="004269C8"/>
    <w:rsid w:val="0042746A"/>
    <w:rsid w:val="004325A8"/>
    <w:rsid w:val="004339CF"/>
    <w:rsid w:val="0043426C"/>
    <w:rsid w:val="004361EB"/>
    <w:rsid w:val="00440635"/>
    <w:rsid w:val="00440EF8"/>
    <w:rsid w:val="00442163"/>
    <w:rsid w:val="0044362E"/>
    <w:rsid w:val="00444529"/>
    <w:rsid w:val="004445C4"/>
    <w:rsid w:val="00456296"/>
    <w:rsid w:val="004611A0"/>
    <w:rsid w:val="0046376A"/>
    <w:rsid w:val="00471A75"/>
    <w:rsid w:val="00471CF0"/>
    <w:rsid w:val="00475A49"/>
    <w:rsid w:val="00480495"/>
    <w:rsid w:val="00481802"/>
    <w:rsid w:val="00484B9A"/>
    <w:rsid w:val="00485EC1"/>
    <w:rsid w:val="004867AF"/>
    <w:rsid w:val="00487189"/>
    <w:rsid w:val="00491FF9"/>
    <w:rsid w:val="004923DA"/>
    <w:rsid w:val="0049249C"/>
    <w:rsid w:val="00494F90"/>
    <w:rsid w:val="00495829"/>
    <w:rsid w:val="004961DD"/>
    <w:rsid w:val="00496AC1"/>
    <w:rsid w:val="00496BDC"/>
    <w:rsid w:val="004A2630"/>
    <w:rsid w:val="004A574A"/>
    <w:rsid w:val="004A576C"/>
    <w:rsid w:val="004A6F14"/>
    <w:rsid w:val="004A7E6F"/>
    <w:rsid w:val="004B0105"/>
    <w:rsid w:val="004B0458"/>
    <w:rsid w:val="004B080C"/>
    <w:rsid w:val="004B0A16"/>
    <w:rsid w:val="004B68BD"/>
    <w:rsid w:val="004C04AA"/>
    <w:rsid w:val="004C1969"/>
    <w:rsid w:val="004C68DD"/>
    <w:rsid w:val="004C7C0D"/>
    <w:rsid w:val="004D74BF"/>
    <w:rsid w:val="004E0659"/>
    <w:rsid w:val="004E17C8"/>
    <w:rsid w:val="004E3734"/>
    <w:rsid w:val="004E4328"/>
    <w:rsid w:val="004E5B5D"/>
    <w:rsid w:val="004E5FF9"/>
    <w:rsid w:val="004E645D"/>
    <w:rsid w:val="004F29FC"/>
    <w:rsid w:val="004F4132"/>
    <w:rsid w:val="004F5AC9"/>
    <w:rsid w:val="004F7A4A"/>
    <w:rsid w:val="005071A7"/>
    <w:rsid w:val="0050739F"/>
    <w:rsid w:val="0050797B"/>
    <w:rsid w:val="00510A3E"/>
    <w:rsid w:val="00510D43"/>
    <w:rsid w:val="005133EA"/>
    <w:rsid w:val="0051430E"/>
    <w:rsid w:val="005144D0"/>
    <w:rsid w:val="0052010B"/>
    <w:rsid w:val="005207C0"/>
    <w:rsid w:val="00520B9A"/>
    <w:rsid w:val="005227CC"/>
    <w:rsid w:val="00523CD8"/>
    <w:rsid w:val="00525CBB"/>
    <w:rsid w:val="00527727"/>
    <w:rsid w:val="00530752"/>
    <w:rsid w:val="005312A2"/>
    <w:rsid w:val="0053151D"/>
    <w:rsid w:val="005338C3"/>
    <w:rsid w:val="005346A1"/>
    <w:rsid w:val="005363B6"/>
    <w:rsid w:val="00540512"/>
    <w:rsid w:val="005436DF"/>
    <w:rsid w:val="005458B1"/>
    <w:rsid w:val="00546698"/>
    <w:rsid w:val="00553B3C"/>
    <w:rsid w:val="00560094"/>
    <w:rsid w:val="005607AD"/>
    <w:rsid w:val="005608DA"/>
    <w:rsid w:val="00560D53"/>
    <w:rsid w:val="00561ED2"/>
    <w:rsid w:val="00571C0B"/>
    <w:rsid w:val="0057332E"/>
    <w:rsid w:val="00575063"/>
    <w:rsid w:val="00575272"/>
    <w:rsid w:val="00581F57"/>
    <w:rsid w:val="00586305"/>
    <w:rsid w:val="005879EC"/>
    <w:rsid w:val="00590B38"/>
    <w:rsid w:val="005976CE"/>
    <w:rsid w:val="005A0406"/>
    <w:rsid w:val="005B074A"/>
    <w:rsid w:val="005B17D7"/>
    <w:rsid w:val="005B381B"/>
    <w:rsid w:val="005B3D55"/>
    <w:rsid w:val="005B766C"/>
    <w:rsid w:val="005D044D"/>
    <w:rsid w:val="005D1357"/>
    <w:rsid w:val="005D17C3"/>
    <w:rsid w:val="005D1B9C"/>
    <w:rsid w:val="005D1C6E"/>
    <w:rsid w:val="005D286F"/>
    <w:rsid w:val="005D404C"/>
    <w:rsid w:val="005D6268"/>
    <w:rsid w:val="005E08F9"/>
    <w:rsid w:val="005E3219"/>
    <w:rsid w:val="005F0A01"/>
    <w:rsid w:val="005F0F38"/>
    <w:rsid w:val="005F3B12"/>
    <w:rsid w:val="005F5B07"/>
    <w:rsid w:val="005F7A9B"/>
    <w:rsid w:val="00601AA7"/>
    <w:rsid w:val="00601E0D"/>
    <w:rsid w:val="00602082"/>
    <w:rsid w:val="00603B07"/>
    <w:rsid w:val="00606B34"/>
    <w:rsid w:val="00610B17"/>
    <w:rsid w:val="0061361E"/>
    <w:rsid w:val="006150DE"/>
    <w:rsid w:val="006152C8"/>
    <w:rsid w:val="006211D6"/>
    <w:rsid w:val="00623613"/>
    <w:rsid w:val="0062563E"/>
    <w:rsid w:val="00630E7B"/>
    <w:rsid w:val="00631178"/>
    <w:rsid w:val="00632B44"/>
    <w:rsid w:val="00634919"/>
    <w:rsid w:val="00634E1A"/>
    <w:rsid w:val="006356A9"/>
    <w:rsid w:val="00635DE1"/>
    <w:rsid w:val="006403C3"/>
    <w:rsid w:val="00640AC5"/>
    <w:rsid w:val="006421AF"/>
    <w:rsid w:val="00644207"/>
    <w:rsid w:val="006444B0"/>
    <w:rsid w:val="006459B1"/>
    <w:rsid w:val="006467FA"/>
    <w:rsid w:val="006473A0"/>
    <w:rsid w:val="00647574"/>
    <w:rsid w:val="00651815"/>
    <w:rsid w:val="006554BE"/>
    <w:rsid w:val="006571B3"/>
    <w:rsid w:val="006607E3"/>
    <w:rsid w:val="006613B8"/>
    <w:rsid w:val="00661F05"/>
    <w:rsid w:val="0066498F"/>
    <w:rsid w:val="00666148"/>
    <w:rsid w:val="0066741C"/>
    <w:rsid w:val="0066777C"/>
    <w:rsid w:val="00667863"/>
    <w:rsid w:val="006747B9"/>
    <w:rsid w:val="00674FD7"/>
    <w:rsid w:val="00681A40"/>
    <w:rsid w:val="00681D8B"/>
    <w:rsid w:val="006834CD"/>
    <w:rsid w:val="0068510C"/>
    <w:rsid w:val="00691BB3"/>
    <w:rsid w:val="006945CE"/>
    <w:rsid w:val="006958D2"/>
    <w:rsid w:val="006A0768"/>
    <w:rsid w:val="006A0FE1"/>
    <w:rsid w:val="006A4E86"/>
    <w:rsid w:val="006A5647"/>
    <w:rsid w:val="006B1567"/>
    <w:rsid w:val="006B46B2"/>
    <w:rsid w:val="006B5D0C"/>
    <w:rsid w:val="006B6191"/>
    <w:rsid w:val="006B7638"/>
    <w:rsid w:val="006C03D2"/>
    <w:rsid w:val="006C0A4B"/>
    <w:rsid w:val="006C0DBC"/>
    <w:rsid w:val="006C2DD1"/>
    <w:rsid w:val="006C32B0"/>
    <w:rsid w:val="006D6400"/>
    <w:rsid w:val="006D761A"/>
    <w:rsid w:val="006E1431"/>
    <w:rsid w:val="006E44FB"/>
    <w:rsid w:val="006E631F"/>
    <w:rsid w:val="006E78A8"/>
    <w:rsid w:val="006E78F2"/>
    <w:rsid w:val="006F206A"/>
    <w:rsid w:val="006F2B04"/>
    <w:rsid w:val="00700D16"/>
    <w:rsid w:val="0070155C"/>
    <w:rsid w:val="0070222A"/>
    <w:rsid w:val="007026C2"/>
    <w:rsid w:val="007027AF"/>
    <w:rsid w:val="00704434"/>
    <w:rsid w:val="00704A59"/>
    <w:rsid w:val="00706A3F"/>
    <w:rsid w:val="007070CE"/>
    <w:rsid w:val="00707F33"/>
    <w:rsid w:val="00715130"/>
    <w:rsid w:val="00716861"/>
    <w:rsid w:val="00725CF2"/>
    <w:rsid w:val="007266DB"/>
    <w:rsid w:val="0073152D"/>
    <w:rsid w:val="00731859"/>
    <w:rsid w:val="00731FE5"/>
    <w:rsid w:val="0073374E"/>
    <w:rsid w:val="007346F9"/>
    <w:rsid w:val="00734F1D"/>
    <w:rsid w:val="00735B38"/>
    <w:rsid w:val="00737EA7"/>
    <w:rsid w:val="00741E25"/>
    <w:rsid w:val="007521D6"/>
    <w:rsid w:val="00752992"/>
    <w:rsid w:val="0075597B"/>
    <w:rsid w:val="007642B0"/>
    <w:rsid w:val="00764D6C"/>
    <w:rsid w:val="00766521"/>
    <w:rsid w:val="007669CC"/>
    <w:rsid w:val="007678A4"/>
    <w:rsid w:val="007716E1"/>
    <w:rsid w:val="007732FB"/>
    <w:rsid w:val="0077365E"/>
    <w:rsid w:val="0077664C"/>
    <w:rsid w:val="007769F1"/>
    <w:rsid w:val="007830E2"/>
    <w:rsid w:val="00783844"/>
    <w:rsid w:val="0078626F"/>
    <w:rsid w:val="00787965"/>
    <w:rsid w:val="00790134"/>
    <w:rsid w:val="00793AC5"/>
    <w:rsid w:val="00793BE0"/>
    <w:rsid w:val="00793ED0"/>
    <w:rsid w:val="00795579"/>
    <w:rsid w:val="007964C2"/>
    <w:rsid w:val="00796F53"/>
    <w:rsid w:val="00797C83"/>
    <w:rsid w:val="007A21B2"/>
    <w:rsid w:val="007A47B3"/>
    <w:rsid w:val="007A53D3"/>
    <w:rsid w:val="007A656A"/>
    <w:rsid w:val="007A72D8"/>
    <w:rsid w:val="007B006A"/>
    <w:rsid w:val="007B3984"/>
    <w:rsid w:val="007C10AB"/>
    <w:rsid w:val="007C309A"/>
    <w:rsid w:val="007C3562"/>
    <w:rsid w:val="007C75CB"/>
    <w:rsid w:val="007C7916"/>
    <w:rsid w:val="007D1324"/>
    <w:rsid w:val="007D1492"/>
    <w:rsid w:val="007D27DE"/>
    <w:rsid w:val="007D3CD2"/>
    <w:rsid w:val="007D48C1"/>
    <w:rsid w:val="007D4EEA"/>
    <w:rsid w:val="007D5413"/>
    <w:rsid w:val="007D55AB"/>
    <w:rsid w:val="007E140C"/>
    <w:rsid w:val="007E1817"/>
    <w:rsid w:val="007E1F1A"/>
    <w:rsid w:val="007E3E69"/>
    <w:rsid w:val="007E433C"/>
    <w:rsid w:val="007E4F8C"/>
    <w:rsid w:val="007E61CB"/>
    <w:rsid w:val="007E73E6"/>
    <w:rsid w:val="007E7E0A"/>
    <w:rsid w:val="007F1779"/>
    <w:rsid w:val="007F3EA3"/>
    <w:rsid w:val="007F73E3"/>
    <w:rsid w:val="008049DC"/>
    <w:rsid w:val="008051EF"/>
    <w:rsid w:val="008069D5"/>
    <w:rsid w:val="00810C3D"/>
    <w:rsid w:val="00811BB7"/>
    <w:rsid w:val="008132A3"/>
    <w:rsid w:val="008144A5"/>
    <w:rsid w:val="00815A88"/>
    <w:rsid w:val="00821441"/>
    <w:rsid w:val="00824D10"/>
    <w:rsid w:val="008278BE"/>
    <w:rsid w:val="00830387"/>
    <w:rsid w:val="0083087B"/>
    <w:rsid w:val="00830AD5"/>
    <w:rsid w:val="00832036"/>
    <w:rsid w:val="00832800"/>
    <w:rsid w:val="00835C2B"/>
    <w:rsid w:val="0083661B"/>
    <w:rsid w:val="0084229B"/>
    <w:rsid w:val="008425EE"/>
    <w:rsid w:val="0084400C"/>
    <w:rsid w:val="00844ABD"/>
    <w:rsid w:val="00844D16"/>
    <w:rsid w:val="00845468"/>
    <w:rsid w:val="0084728E"/>
    <w:rsid w:val="00850F9D"/>
    <w:rsid w:val="0085240B"/>
    <w:rsid w:val="00852DF1"/>
    <w:rsid w:val="0085717F"/>
    <w:rsid w:val="00857A3B"/>
    <w:rsid w:val="00860250"/>
    <w:rsid w:val="00861437"/>
    <w:rsid w:val="00867E1C"/>
    <w:rsid w:val="008701DD"/>
    <w:rsid w:val="00871B53"/>
    <w:rsid w:val="00872670"/>
    <w:rsid w:val="008749B6"/>
    <w:rsid w:val="00874B1C"/>
    <w:rsid w:val="00875C82"/>
    <w:rsid w:val="008830E8"/>
    <w:rsid w:val="00886CE9"/>
    <w:rsid w:val="00892BB2"/>
    <w:rsid w:val="00894A28"/>
    <w:rsid w:val="008956A8"/>
    <w:rsid w:val="008971E4"/>
    <w:rsid w:val="008B3DC3"/>
    <w:rsid w:val="008B45EC"/>
    <w:rsid w:val="008C2756"/>
    <w:rsid w:val="008D0676"/>
    <w:rsid w:val="008D1F32"/>
    <w:rsid w:val="008D75C9"/>
    <w:rsid w:val="008D7CDA"/>
    <w:rsid w:val="008E35E7"/>
    <w:rsid w:val="008E3881"/>
    <w:rsid w:val="008E388E"/>
    <w:rsid w:val="008E3998"/>
    <w:rsid w:val="008E58DE"/>
    <w:rsid w:val="008F104F"/>
    <w:rsid w:val="008F2DA7"/>
    <w:rsid w:val="008F580E"/>
    <w:rsid w:val="008F6C5A"/>
    <w:rsid w:val="008F738C"/>
    <w:rsid w:val="00900480"/>
    <w:rsid w:val="00903447"/>
    <w:rsid w:val="00903D4B"/>
    <w:rsid w:val="0090528E"/>
    <w:rsid w:val="00905D13"/>
    <w:rsid w:val="00906E3D"/>
    <w:rsid w:val="0091317E"/>
    <w:rsid w:val="00913981"/>
    <w:rsid w:val="00914D19"/>
    <w:rsid w:val="009161DB"/>
    <w:rsid w:val="009223C2"/>
    <w:rsid w:val="00924337"/>
    <w:rsid w:val="00925B83"/>
    <w:rsid w:val="0092616F"/>
    <w:rsid w:val="00926182"/>
    <w:rsid w:val="00927211"/>
    <w:rsid w:val="0093001B"/>
    <w:rsid w:val="00941905"/>
    <w:rsid w:val="00942460"/>
    <w:rsid w:val="009427E8"/>
    <w:rsid w:val="00943298"/>
    <w:rsid w:val="00943968"/>
    <w:rsid w:val="009452BB"/>
    <w:rsid w:val="00951F85"/>
    <w:rsid w:val="009720D1"/>
    <w:rsid w:val="009732C9"/>
    <w:rsid w:val="0097448D"/>
    <w:rsid w:val="00974FDA"/>
    <w:rsid w:val="00975BE0"/>
    <w:rsid w:val="009760D6"/>
    <w:rsid w:val="0097675A"/>
    <w:rsid w:val="00977C84"/>
    <w:rsid w:val="00980E55"/>
    <w:rsid w:val="00981F6D"/>
    <w:rsid w:val="0098370C"/>
    <w:rsid w:val="009843AA"/>
    <w:rsid w:val="009858CE"/>
    <w:rsid w:val="00992643"/>
    <w:rsid w:val="00994DE5"/>
    <w:rsid w:val="00995984"/>
    <w:rsid w:val="009A206A"/>
    <w:rsid w:val="009A3BA9"/>
    <w:rsid w:val="009B595A"/>
    <w:rsid w:val="009C0FD1"/>
    <w:rsid w:val="009C335A"/>
    <w:rsid w:val="009C6D83"/>
    <w:rsid w:val="009C7D5C"/>
    <w:rsid w:val="009D224D"/>
    <w:rsid w:val="009D2F01"/>
    <w:rsid w:val="009D4283"/>
    <w:rsid w:val="009D4A6E"/>
    <w:rsid w:val="009D6077"/>
    <w:rsid w:val="009D611B"/>
    <w:rsid w:val="009D655F"/>
    <w:rsid w:val="009E0912"/>
    <w:rsid w:val="009E2AFA"/>
    <w:rsid w:val="009E6962"/>
    <w:rsid w:val="009E7914"/>
    <w:rsid w:val="009F3BC9"/>
    <w:rsid w:val="009F504F"/>
    <w:rsid w:val="009F60E3"/>
    <w:rsid w:val="009F7216"/>
    <w:rsid w:val="00A023C1"/>
    <w:rsid w:val="00A062A4"/>
    <w:rsid w:val="00A07D44"/>
    <w:rsid w:val="00A159E4"/>
    <w:rsid w:val="00A23629"/>
    <w:rsid w:val="00A26F7B"/>
    <w:rsid w:val="00A27DEF"/>
    <w:rsid w:val="00A31767"/>
    <w:rsid w:val="00A333C8"/>
    <w:rsid w:val="00A341F1"/>
    <w:rsid w:val="00A35BD1"/>
    <w:rsid w:val="00A360F7"/>
    <w:rsid w:val="00A378DE"/>
    <w:rsid w:val="00A37FB6"/>
    <w:rsid w:val="00A4032E"/>
    <w:rsid w:val="00A40778"/>
    <w:rsid w:val="00A42CD5"/>
    <w:rsid w:val="00A4379A"/>
    <w:rsid w:val="00A43B60"/>
    <w:rsid w:val="00A44512"/>
    <w:rsid w:val="00A45980"/>
    <w:rsid w:val="00A45FE5"/>
    <w:rsid w:val="00A50378"/>
    <w:rsid w:val="00A51280"/>
    <w:rsid w:val="00A519BF"/>
    <w:rsid w:val="00A52DEF"/>
    <w:rsid w:val="00A54B87"/>
    <w:rsid w:val="00A55543"/>
    <w:rsid w:val="00A572CA"/>
    <w:rsid w:val="00A61900"/>
    <w:rsid w:val="00A61D4A"/>
    <w:rsid w:val="00A653D2"/>
    <w:rsid w:val="00A661BA"/>
    <w:rsid w:val="00A66C1A"/>
    <w:rsid w:val="00A70126"/>
    <w:rsid w:val="00A7131D"/>
    <w:rsid w:val="00A742D4"/>
    <w:rsid w:val="00A75DC5"/>
    <w:rsid w:val="00A76330"/>
    <w:rsid w:val="00A839D2"/>
    <w:rsid w:val="00A848AF"/>
    <w:rsid w:val="00A87A03"/>
    <w:rsid w:val="00A95FB7"/>
    <w:rsid w:val="00A961D1"/>
    <w:rsid w:val="00AA254D"/>
    <w:rsid w:val="00AA5022"/>
    <w:rsid w:val="00AA696A"/>
    <w:rsid w:val="00AB6188"/>
    <w:rsid w:val="00AC058F"/>
    <w:rsid w:val="00AC4839"/>
    <w:rsid w:val="00AC6505"/>
    <w:rsid w:val="00AC7CF2"/>
    <w:rsid w:val="00AD1CFC"/>
    <w:rsid w:val="00AD2FF7"/>
    <w:rsid w:val="00AD4D9C"/>
    <w:rsid w:val="00AD4ECF"/>
    <w:rsid w:val="00AD65C8"/>
    <w:rsid w:val="00AD72E7"/>
    <w:rsid w:val="00AE075F"/>
    <w:rsid w:val="00AE1C0B"/>
    <w:rsid w:val="00AE1DC2"/>
    <w:rsid w:val="00AE244E"/>
    <w:rsid w:val="00AE32C0"/>
    <w:rsid w:val="00AF1492"/>
    <w:rsid w:val="00AF1564"/>
    <w:rsid w:val="00AF1819"/>
    <w:rsid w:val="00AF18DE"/>
    <w:rsid w:val="00AF3084"/>
    <w:rsid w:val="00AF4183"/>
    <w:rsid w:val="00AF7B64"/>
    <w:rsid w:val="00B00D5B"/>
    <w:rsid w:val="00B024FB"/>
    <w:rsid w:val="00B02560"/>
    <w:rsid w:val="00B04BF6"/>
    <w:rsid w:val="00B064E8"/>
    <w:rsid w:val="00B06AF5"/>
    <w:rsid w:val="00B07348"/>
    <w:rsid w:val="00B10AEA"/>
    <w:rsid w:val="00B1152F"/>
    <w:rsid w:val="00B1289D"/>
    <w:rsid w:val="00B17415"/>
    <w:rsid w:val="00B21852"/>
    <w:rsid w:val="00B27496"/>
    <w:rsid w:val="00B30AC9"/>
    <w:rsid w:val="00B3213D"/>
    <w:rsid w:val="00B322D6"/>
    <w:rsid w:val="00B354DB"/>
    <w:rsid w:val="00B4432A"/>
    <w:rsid w:val="00B4448F"/>
    <w:rsid w:val="00B47880"/>
    <w:rsid w:val="00B52606"/>
    <w:rsid w:val="00B55D06"/>
    <w:rsid w:val="00B564DD"/>
    <w:rsid w:val="00B6118A"/>
    <w:rsid w:val="00B6373F"/>
    <w:rsid w:val="00B6452E"/>
    <w:rsid w:val="00B66630"/>
    <w:rsid w:val="00B676F9"/>
    <w:rsid w:val="00B74938"/>
    <w:rsid w:val="00B74D0F"/>
    <w:rsid w:val="00B75575"/>
    <w:rsid w:val="00B75C4D"/>
    <w:rsid w:val="00B75FE9"/>
    <w:rsid w:val="00B764ED"/>
    <w:rsid w:val="00B77BDB"/>
    <w:rsid w:val="00B81082"/>
    <w:rsid w:val="00B8237C"/>
    <w:rsid w:val="00B8574D"/>
    <w:rsid w:val="00B85B2B"/>
    <w:rsid w:val="00B946A5"/>
    <w:rsid w:val="00B9554B"/>
    <w:rsid w:val="00B9797C"/>
    <w:rsid w:val="00B97EEF"/>
    <w:rsid w:val="00B97FB4"/>
    <w:rsid w:val="00BA1B6D"/>
    <w:rsid w:val="00BA22C5"/>
    <w:rsid w:val="00BA370E"/>
    <w:rsid w:val="00BA4BD6"/>
    <w:rsid w:val="00BA5838"/>
    <w:rsid w:val="00BA5CD8"/>
    <w:rsid w:val="00BA67C1"/>
    <w:rsid w:val="00BA69D8"/>
    <w:rsid w:val="00BA6E86"/>
    <w:rsid w:val="00BB045E"/>
    <w:rsid w:val="00BC1A74"/>
    <w:rsid w:val="00BC1C0A"/>
    <w:rsid w:val="00BC41C5"/>
    <w:rsid w:val="00BC61A3"/>
    <w:rsid w:val="00BD0184"/>
    <w:rsid w:val="00BD1986"/>
    <w:rsid w:val="00BD19DD"/>
    <w:rsid w:val="00BD2F24"/>
    <w:rsid w:val="00BE1EBA"/>
    <w:rsid w:val="00BE7D1F"/>
    <w:rsid w:val="00BF2DD6"/>
    <w:rsid w:val="00BF4A87"/>
    <w:rsid w:val="00BF5439"/>
    <w:rsid w:val="00C00549"/>
    <w:rsid w:val="00C00F7A"/>
    <w:rsid w:val="00C02195"/>
    <w:rsid w:val="00C11000"/>
    <w:rsid w:val="00C12351"/>
    <w:rsid w:val="00C15E17"/>
    <w:rsid w:val="00C17577"/>
    <w:rsid w:val="00C22097"/>
    <w:rsid w:val="00C26246"/>
    <w:rsid w:val="00C27934"/>
    <w:rsid w:val="00C31C30"/>
    <w:rsid w:val="00C37706"/>
    <w:rsid w:val="00C511D4"/>
    <w:rsid w:val="00C5140F"/>
    <w:rsid w:val="00C52B7F"/>
    <w:rsid w:val="00C52EE2"/>
    <w:rsid w:val="00C55241"/>
    <w:rsid w:val="00C57C9B"/>
    <w:rsid w:val="00C611F3"/>
    <w:rsid w:val="00C62E09"/>
    <w:rsid w:val="00C70CA4"/>
    <w:rsid w:val="00C71B3D"/>
    <w:rsid w:val="00C72183"/>
    <w:rsid w:val="00C72C8A"/>
    <w:rsid w:val="00C72D8D"/>
    <w:rsid w:val="00C819F7"/>
    <w:rsid w:val="00C84FED"/>
    <w:rsid w:val="00C864CD"/>
    <w:rsid w:val="00C8666F"/>
    <w:rsid w:val="00C86688"/>
    <w:rsid w:val="00C877A8"/>
    <w:rsid w:val="00C918EC"/>
    <w:rsid w:val="00C93BE9"/>
    <w:rsid w:val="00C95008"/>
    <w:rsid w:val="00CA154C"/>
    <w:rsid w:val="00CA2D42"/>
    <w:rsid w:val="00CA4937"/>
    <w:rsid w:val="00CA4FB1"/>
    <w:rsid w:val="00CB1009"/>
    <w:rsid w:val="00CB2FB8"/>
    <w:rsid w:val="00CB6E56"/>
    <w:rsid w:val="00CC095E"/>
    <w:rsid w:val="00CC1FC9"/>
    <w:rsid w:val="00CC319A"/>
    <w:rsid w:val="00CC4DB8"/>
    <w:rsid w:val="00CC7075"/>
    <w:rsid w:val="00CC7DEC"/>
    <w:rsid w:val="00CD2746"/>
    <w:rsid w:val="00CD43B4"/>
    <w:rsid w:val="00CD56E5"/>
    <w:rsid w:val="00CD5C63"/>
    <w:rsid w:val="00CE0347"/>
    <w:rsid w:val="00CE0C30"/>
    <w:rsid w:val="00CE3CD8"/>
    <w:rsid w:val="00CE5172"/>
    <w:rsid w:val="00CF0611"/>
    <w:rsid w:val="00CF1C78"/>
    <w:rsid w:val="00CF301F"/>
    <w:rsid w:val="00CF3401"/>
    <w:rsid w:val="00CF3619"/>
    <w:rsid w:val="00CF399D"/>
    <w:rsid w:val="00CF502A"/>
    <w:rsid w:val="00D03142"/>
    <w:rsid w:val="00D040DB"/>
    <w:rsid w:val="00D04BC2"/>
    <w:rsid w:val="00D10A5B"/>
    <w:rsid w:val="00D11200"/>
    <w:rsid w:val="00D11C95"/>
    <w:rsid w:val="00D14160"/>
    <w:rsid w:val="00D15992"/>
    <w:rsid w:val="00D169D5"/>
    <w:rsid w:val="00D21355"/>
    <w:rsid w:val="00D25304"/>
    <w:rsid w:val="00D26941"/>
    <w:rsid w:val="00D307BE"/>
    <w:rsid w:val="00D33C6B"/>
    <w:rsid w:val="00D342EC"/>
    <w:rsid w:val="00D34DA1"/>
    <w:rsid w:val="00D35D41"/>
    <w:rsid w:val="00D37260"/>
    <w:rsid w:val="00D37E11"/>
    <w:rsid w:val="00D412FB"/>
    <w:rsid w:val="00D42BFA"/>
    <w:rsid w:val="00D43D8F"/>
    <w:rsid w:val="00D47204"/>
    <w:rsid w:val="00D47C86"/>
    <w:rsid w:val="00D52BD2"/>
    <w:rsid w:val="00D5472E"/>
    <w:rsid w:val="00D55BD1"/>
    <w:rsid w:val="00D63B78"/>
    <w:rsid w:val="00D6555A"/>
    <w:rsid w:val="00D73AFC"/>
    <w:rsid w:val="00D74B09"/>
    <w:rsid w:val="00D75C04"/>
    <w:rsid w:val="00D76841"/>
    <w:rsid w:val="00D77C87"/>
    <w:rsid w:val="00D82B35"/>
    <w:rsid w:val="00D845F5"/>
    <w:rsid w:val="00D84AD2"/>
    <w:rsid w:val="00D850AA"/>
    <w:rsid w:val="00D85297"/>
    <w:rsid w:val="00D868D8"/>
    <w:rsid w:val="00D87AEA"/>
    <w:rsid w:val="00D87CB4"/>
    <w:rsid w:val="00D91707"/>
    <w:rsid w:val="00D92ECF"/>
    <w:rsid w:val="00D939CC"/>
    <w:rsid w:val="00DA311A"/>
    <w:rsid w:val="00DA3EE3"/>
    <w:rsid w:val="00DA6F33"/>
    <w:rsid w:val="00DB318B"/>
    <w:rsid w:val="00DB4153"/>
    <w:rsid w:val="00DB71B5"/>
    <w:rsid w:val="00DB7865"/>
    <w:rsid w:val="00DC1758"/>
    <w:rsid w:val="00DC3549"/>
    <w:rsid w:val="00DC4846"/>
    <w:rsid w:val="00DC656F"/>
    <w:rsid w:val="00DD1149"/>
    <w:rsid w:val="00DD1576"/>
    <w:rsid w:val="00DD24F6"/>
    <w:rsid w:val="00DD43C6"/>
    <w:rsid w:val="00DD6231"/>
    <w:rsid w:val="00DD7156"/>
    <w:rsid w:val="00DE1084"/>
    <w:rsid w:val="00DE149F"/>
    <w:rsid w:val="00DE2F39"/>
    <w:rsid w:val="00DE4105"/>
    <w:rsid w:val="00DE51CD"/>
    <w:rsid w:val="00DE73E1"/>
    <w:rsid w:val="00DF42D7"/>
    <w:rsid w:val="00DF695C"/>
    <w:rsid w:val="00DF7FF0"/>
    <w:rsid w:val="00E006CC"/>
    <w:rsid w:val="00E028C0"/>
    <w:rsid w:val="00E041D3"/>
    <w:rsid w:val="00E04C15"/>
    <w:rsid w:val="00E0592B"/>
    <w:rsid w:val="00E119DD"/>
    <w:rsid w:val="00E17CDE"/>
    <w:rsid w:val="00E200C5"/>
    <w:rsid w:val="00E21052"/>
    <w:rsid w:val="00E21CFA"/>
    <w:rsid w:val="00E22A85"/>
    <w:rsid w:val="00E36181"/>
    <w:rsid w:val="00E37996"/>
    <w:rsid w:val="00E4596E"/>
    <w:rsid w:val="00E45E23"/>
    <w:rsid w:val="00E46474"/>
    <w:rsid w:val="00E52AF3"/>
    <w:rsid w:val="00E56B73"/>
    <w:rsid w:val="00E57EF7"/>
    <w:rsid w:val="00E66431"/>
    <w:rsid w:val="00E67261"/>
    <w:rsid w:val="00E71F43"/>
    <w:rsid w:val="00E72240"/>
    <w:rsid w:val="00E72F41"/>
    <w:rsid w:val="00E752AE"/>
    <w:rsid w:val="00E7724E"/>
    <w:rsid w:val="00E775AA"/>
    <w:rsid w:val="00E77C75"/>
    <w:rsid w:val="00E8042F"/>
    <w:rsid w:val="00E822B8"/>
    <w:rsid w:val="00E846A1"/>
    <w:rsid w:val="00E84EE0"/>
    <w:rsid w:val="00E87BFA"/>
    <w:rsid w:val="00E90839"/>
    <w:rsid w:val="00E9325D"/>
    <w:rsid w:val="00E969BE"/>
    <w:rsid w:val="00E96F9D"/>
    <w:rsid w:val="00EA0CF4"/>
    <w:rsid w:val="00EA24E3"/>
    <w:rsid w:val="00EA5612"/>
    <w:rsid w:val="00EB0E05"/>
    <w:rsid w:val="00EB23EF"/>
    <w:rsid w:val="00EB2DFD"/>
    <w:rsid w:val="00EB458D"/>
    <w:rsid w:val="00EB49AA"/>
    <w:rsid w:val="00EB6129"/>
    <w:rsid w:val="00EB6A1E"/>
    <w:rsid w:val="00EB79AF"/>
    <w:rsid w:val="00EC0309"/>
    <w:rsid w:val="00EC0455"/>
    <w:rsid w:val="00EC47B7"/>
    <w:rsid w:val="00EC49AC"/>
    <w:rsid w:val="00EC5844"/>
    <w:rsid w:val="00ED0EFE"/>
    <w:rsid w:val="00ED39E9"/>
    <w:rsid w:val="00EE05B4"/>
    <w:rsid w:val="00EE1A00"/>
    <w:rsid w:val="00EE1CC7"/>
    <w:rsid w:val="00EE3B45"/>
    <w:rsid w:val="00EE4CEF"/>
    <w:rsid w:val="00EE6949"/>
    <w:rsid w:val="00EE7D74"/>
    <w:rsid w:val="00EF21F1"/>
    <w:rsid w:val="00EF5AB2"/>
    <w:rsid w:val="00F041FE"/>
    <w:rsid w:val="00F04B4C"/>
    <w:rsid w:val="00F06DB6"/>
    <w:rsid w:val="00F12850"/>
    <w:rsid w:val="00F13D27"/>
    <w:rsid w:val="00F14209"/>
    <w:rsid w:val="00F15F49"/>
    <w:rsid w:val="00F166F0"/>
    <w:rsid w:val="00F17AB5"/>
    <w:rsid w:val="00F20858"/>
    <w:rsid w:val="00F20943"/>
    <w:rsid w:val="00F22EC5"/>
    <w:rsid w:val="00F263D2"/>
    <w:rsid w:val="00F2656E"/>
    <w:rsid w:val="00F268A9"/>
    <w:rsid w:val="00F272CC"/>
    <w:rsid w:val="00F277E2"/>
    <w:rsid w:val="00F3080B"/>
    <w:rsid w:val="00F329A4"/>
    <w:rsid w:val="00F32B83"/>
    <w:rsid w:val="00F33D9D"/>
    <w:rsid w:val="00F33DD1"/>
    <w:rsid w:val="00F3633D"/>
    <w:rsid w:val="00F37793"/>
    <w:rsid w:val="00F4166D"/>
    <w:rsid w:val="00F45C7D"/>
    <w:rsid w:val="00F46174"/>
    <w:rsid w:val="00F5065A"/>
    <w:rsid w:val="00F51173"/>
    <w:rsid w:val="00F51996"/>
    <w:rsid w:val="00F54F53"/>
    <w:rsid w:val="00F567F9"/>
    <w:rsid w:val="00F64E25"/>
    <w:rsid w:val="00F73829"/>
    <w:rsid w:val="00F77C2C"/>
    <w:rsid w:val="00F81AE4"/>
    <w:rsid w:val="00F81FF6"/>
    <w:rsid w:val="00F8504E"/>
    <w:rsid w:val="00F85169"/>
    <w:rsid w:val="00F86589"/>
    <w:rsid w:val="00F87C36"/>
    <w:rsid w:val="00F87D18"/>
    <w:rsid w:val="00F90F17"/>
    <w:rsid w:val="00F914C1"/>
    <w:rsid w:val="00F93353"/>
    <w:rsid w:val="00F94658"/>
    <w:rsid w:val="00F9478B"/>
    <w:rsid w:val="00F94DFC"/>
    <w:rsid w:val="00FA0D03"/>
    <w:rsid w:val="00FA49BC"/>
    <w:rsid w:val="00FA5C61"/>
    <w:rsid w:val="00FB0BAE"/>
    <w:rsid w:val="00FB1D5B"/>
    <w:rsid w:val="00FB2DFF"/>
    <w:rsid w:val="00FB4CE2"/>
    <w:rsid w:val="00FB6439"/>
    <w:rsid w:val="00FC05E9"/>
    <w:rsid w:val="00FC0D97"/>
    <w:rsid w:val="00FC1BEA"/>
    <w:rsid w:val="00FC25E0"/>
    <w:rsid w:val="00FC2A41"/>
    <w:rsid w:val="00FC48FA"/>
    <w:rsid w:val="00FC57AD"/>
    <w:rsid w:val="00FC79FA"/>
    <w:rsid w:val="00FD35FD"/>
    <w:rsid w:val="00FE1D4B"/>
    <w:rsid w:val="00FE415C"/>
    <w:rsid w:val="00FE437A"/>
    <w:rsid w:val="00FE5B5E"/>
    <w:rsid w:val="00FE7094"/>
    <w:rsid w:val="00FE7BA5"/>
    <w:rsid w:val="00FF0329"/>
    <w:rsid w:val="00FF0AE1"/>
    <w:rsid w:val="00FF1C1B"/>
    <w:rsid w:val="00FF5525"/>
    <w:rsid w:val="00FF5DCB"/>
    <w:rsid w:val="00FF6109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23FB"/>
  <w14:defaultImageDpi w14:val="32767"/>
  <w15:chartTrackingRefBased/>
  <w15:docId w15:val="{FA9E1009-1063-D449-94EA-50EC14EC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3737" w:themeColor="text1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F9"/>
    <w:pPr>
      <w:spacing w:after="160" w:line="312" w:lineRule="auto"/>
    </w:pPr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047"/>
    <w:pPr>
      <w:keepNext/>
      <w:keepLines/>
      <w:numPr>
        <w:numId w:val="2"/>
      </w:numPr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color w:val="862F21" w:themeColor="accent2"/>
      <w:kern w:val="36"/>
      <w:sz w:val="44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D03"/>
    <w:pPr>
      <w:keepNext/>
      <w:keepLines/>
      <w:numPr>
        <w:ilvl w:val="1"/>
        <w:numId w:val="2"/>
      </w:numPr>
      <w:spacing w:before="640" w:after="280" w:line="240" w:lineRule="auto"/>
      <w:ind w:left="720"/>
      <w:outlineLvl w:val="1"/>
    </w:pPr>
    <w:rPr>
      <w:rFonts w:asciiTheme="majorHAnsi" w:eastAsiaTheme="majorEastAsia" w:hAnsiTheme="majorHAnsi" w:cstheme="majorBidi"/>
      <w:b/>
      <w:color w:val="421F10" w:themeColor="accent1"/>
      <w:sz w:val="28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72E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color w:val="862F21" w:themeColor="accent2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CEE"/>
    <w:pPr>
      <w:keepNext/>
      <w:keepLines/>
      <w:spacing w:before="320"/>
      <w:outlineLvl w:val="3"/>
    </w:pPr>
    <w:rPr>
      <w:rFonts w:asciiTheme="majorHAnsi" w:eastAsiaTheme="majorEastAsia" w:hAnsiTheme="majorHAnsi" w:cstheme="majorBidi"/>
      <w:b/>
      <w:iCs/>
      <w:color w:val="31170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1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049DC"/>
    <w:pPr>
      <w:spacing w:after="0" w:line="192" w:lineRule="auto"/>
      <w:contextualSpacing/>
    </w:pPr>
    <w:rPr>
      <w:rFonts w:ascii="Arial Black" w:eastAsiaTheme="majorEastAsia" w:hAnsi="Arial Black" w:cstheme="majorBidi"/>
      <w:color w:val="FFFFFF" w:themeColor="background1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9DC"/>
    <w:rPr>
      <w:rFonts w:ascii="Arial Black" w:eastAsiaTheme="majorEastAsia" w:hAnsi="Arial Black" w:cstheme="majorBidi"/>
      <w:color w:val="FFFFFF" w:themeColor="background1"/>
      <w:spacing w:val="-10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DC"/>
    <w:pPr>
      <w:numPr>
        <w:ilvl w:val="1"/>
      </w:numPr>
      <w:spacing w:before="420"/>
    </w:pPr>
    <w:rPr>
      <w:color w:val="FFFFFF" w:themeColor="background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49DC"/>
    <w:rPr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80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D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EE"/>
    <w:pPr>
      <w:tabs>
        <w:tab w:val="center" w:pos="4513"/>
        <w:tab w:val="right" w:pos="9026"/>
      </w:tabs>
      <w:spacing w:after="0" w:line="240" w:lineRule="auto"/>
    </w:pPr>
    <w:rPr>
      <w:color w:val="421F1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5CEE"/>
    <w:rPr>
      <w:color w:val="421F10" w:themeColor="text2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049DC"/>
  </w:style>
  <w:style w:type="character" w:customStyle="1" w:styleId="Heading1Char">
    <w:name w:val="Heading 1 Char"/>
    <w:basedOn w:val="DefaultParagraphFont"/>
    <w:link w:val="Heading1"/>
    <w:uiPriority w:val="9"/>
    <w:rsid w:val="00201047"/>
    <w:rPr>
      <w:rFonts w:asciiTheme="majorHAnsi" w:eastAsiaTheme="majorEastAsia" w:hAnsiTheme="majorHAnsi" w:cstheme="majorBidi"/>
      <w:b/>
      <w:color w:val="862F21" w:themeColor="accent2"/>
      <w:kern w:val="36"/>
      <w:sz w:val="44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A0D03"/>
    <w:rPr>
      <w:rFonts w:asciiTheme="majorHAnsi" w:eastAsiaTheme="majorEastAsia" w:hAnsiTheme="majorHAnsi" w:cstheme="majorBidi"/>
      <w:b/>
      <w:color w:val="421F10" w:themeColor="accent1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5472E"/>
    <w:rPr>
      <w:rFonts w:asciiTheme="majorHAnsi" w:eastAsiaTheme="majorEastAsia" w:hAnsiTheme="majorHAnsi" w:cstheme="majorBidi"/>
      <w:b/>
      <w:color w:val="862F21" w:themeColor="accent2"/>
      <w:sz w:val="22"/>
    </w:rPr>
  </w:style>
  <w:style w:type="paragraph" w:styleId="ListBullet">
    <w:name w:val="List Bullet"/>
    <w:basedOn w:val="Normal"/>
    <w:uiPriority w:val="99"/>
    <w:unhideWhenUsed/>
    <w:rsid w:val="00844ABD"/>
    <w:pPr>
      <w:numPr>
        <w:numId w:val="1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513B6"/>
    <w:pPr>
      <w:tabs>
        <w:tab w:val="left" w:pos="440"/>
        <w:tab w:val="right" w:pos="9010"/>
      </w:tabs>
      <w:spacing w:after="100"/>
    </w:pPr>
    <w:rPr>
      <w:b/>
      <w:color w:val="421F10" w:themeColor="text2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E3CD8"/>
    <w:rPr>
      <w:color w:val="862F2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3CD8"/>
    <w:pPr>
      <w:spacing w:before="240" w:line="312" w:lineRule="auto"/>
      <w:outlineLvl w:val="9"/>
    </w:pPr>
    <w:rPr>
      <w:kern w:val="0"/>
    </w:rPr>
  </w:style>
  <w:style w:type="table" w:styleId="TableGrid">
    <w:name w:val="Table Grid"/>
    <w:basedOn w:val="TableNormal"/>
    <w:uiPriority w:val="39"/>
    <w:rsid w:val="00C2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CTTable">
    <w:name w:val="BCT Table"/>
    <w:basedOn w:val="TableNormal"/>
    <w:uiPriority w:val="99"/>
    <w:rsid w:val="00277DF2"/>
    <w:tblPr>
      <w:tblBorders>
        <w:bottom w:val="single" w:sz="4" w:space="0" w:color="E7E2D3" w:themeColor="accent4"/>
        <w:insideH w:val="single" w:sz="4" w:space="0" w:color="E7E2D3" w:themeColor="accent4"/>
      </w:tblBorders>
      <w:tblCellMar>
        <w:top w:w="142" w:type="dxa"/>
        <w:bottom w:w="113" w:type="dxa"/>
      </w:tblCellMar>
    </w:tblPr>
    <w:tblStylePr w:type="firstRow">
      <w:rPr>
        <w:b/>
        <w:color w:val="421F10" w:themeColor="text2"/>
      </w:rPr>
      <w:tblPr/>
      <w:tcPr>
        <w:tcBorders>
          <w:bottom w:val="single" w:sz="18" w:space="0" w:color="421F10" w:themeColor="text2"/>
        </w:tcBorders>
        <w:shd w:val="clear" w:color="auto" w:fill="E7E2D3" w:themeFill="background2"/>
      </w:tcPr>
    </w:tblStylePr>
    <w:tblStylePr w:type="firstCol">
      <w:rPr>
        <w:color w:val="421F10" w:themeColor="text2"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235CEE"/>
    <w:rPr>
      <w:rFonts w:asciiTheme="majorHAnsi" w:eastAsiaTheme="majorEastAsia" w:hAnsiTheme="majorHAnsi" w:cstheme="majorBidi"/>
      <w:b/>
      <w:iCs/>
      <w:color w:val="31170C" w:themeColor="accent1" w:themeShade="BF"/>
      <w:sz w:val="20"/>
    </w:rPr>
  </w:style>
  <w:style w:type="paragraph" w:customStyle="1" w:styleId="Pullout">
    <w:name w:val="Pullout"/>
    <w:basedOn w:val="Normal"/>
    <w:qFormat/>
    <w:rsid w:val="005A0406"/>
    <w:pPr>
      <w:spacing w:before="360" w:after="440" w:line="240" w:lineRule="auto"/>
      <w:ind w:right="4253"/>
    </w:pPr>
    <w:rPr>
      <w:b/>
      <w:color w:val="862F21" w:themeColor="accent2"/>
      <w:sz w:val="28"/>
      <w:lang w:val="en-AU"/>
    </w:rPr>
  </w:style>
  <w:style w:type="paragraph" w:styleId="ListParagraph">
    <w:name w:val="List Paragraph"/>
    <w:aliases w:val="Use Case List Paragraph,Recommendation,List 1),List Paragraph1,Bullet List,number List,Numbered Para 1,Dot pt,No Spacing1,List Paragraph Char Char Char,Indicator Text,Bullet Points,Bullet 1,MAIN CONTENT,List Paragraph12,F5 List Paragraph"/>
    <w:basedOn w:val="Normal"/>
    <w:link w:val="ListParagraphChar"/>
    <w:uiPriority w:val="34"/>
    <w:qFormat/>
    <w:rsid w:val="00BD2F24"/>
    <w:pPr>
      <w:ind w:left="720"/>
      <w:contextualSpacing/>
    </w:pPr>
  </w:style>
  <w:style w:type="character" w:customStyle="1" w:styleId="ListParagraphChar">
    <w:name w:val="List Paragraph Char"/>
    <w:aliases w:val="Use Case List Paragraph Char,Recommendation Char,List 1) Char,List Paragraph1 Char,Bullet List Char,number List Char,Numbered Para 1 Char,Dot pt Char,No Spacing1 Char,List Paragraph Char Char Char Char,Indicator Text Char"/>
    <w:basedOn w:val="DefaultParagraphFont"/>
    <w:link w:val="ListParagraph"/>
    <w:uiPriority w:val="34"/>
    <w:rsid w:val="00BD2F24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5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B38"/>
    <w:pPr>
      <w:spacing w:before="240" w:after="0" w:line="240" w:lineRule="auto"/>
    </w:pPr>
    <w:rPr>
      <w:rFonts w:ascii="Calibri Light" w:hAnsi="Calibri Light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B38"/>
    <w:rPr>
      <w:rFonts w:ascii="Calibri Light" w:hAnsi="Calibri Light"/>
      <w:color w:val="auto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3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D29"/>
    <w:pPr>
      <w:spacing w:before="0" w:after="160"/>
    </w:pPr>
    <w:rPr>
      <w:rFonts w:asciiTheme="minorHAnsi" w:hAnsiTheme="minorHAnsi"/>
      <w:b/>
      <w:bCs/>
      <w:color w:val="373737" w:themeColor="text1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D29"/>
    <w:rPr>
      <w:rFonts w:ascii="Calibri Light" w:hAnsi="Calibri Light"/>
      <w:b/>
      <w:bCs/>
      <w:color w:val="auto"/>
      <w:sz w:val="20"/>
      <w:szCs w:val="20"/>
      <w:lang w:val="en-AU" w:eastAsia="en-US"/>
    </w:rPr>
  </w:style>
  <w:style w:type="character" w:customStyle="1" w:styleId="UnresolvedMention1">
    <w:name w:val="Unresolved Mention1"/>
    <w:basedOn w:val="DefaultParagraphFont"/>
    <w:uiPriority w:val="99"/>
    <w:rsid w:val="00D15992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DF42D7"/>
    <w:rPr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42D7"/>
    <w:rPr>
      <w:color w:val="auto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CB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C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CB9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2A1E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A50378"/>
    <w:pPr>
      <w:spacing w:after="200" w:line="240" w:lineRule="auto"/>
    </w:pPr>
    <w:rPr>
      <w:i/>
      <w:iCs/>
      <w:color w:val="421F10" w:themeColor="text2"/>
      <w:sz w:val="18"/>
      <w:szCs w:val="18"/>
    </w:rPr>
  </w:style>
  <w:style w:type="paragraph" w:styleId="Revision">
    <w:name w:val="Revision"/>
    <w:hidden/>
    <w:uiPriority w:val="99"/>
    <w:semiHidden/>
    <w:rsid w:val="003A551E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0A2D91"/>
    <w:rPr>
      <w:rFonts w:ascii="Calibri" w:eastAsia="Times New Roman" w:hAnsi="Calibri" w:cs="Times New Roman"/>
      <w:color w:val="auto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0528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90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E1A"/>
    <w:rPr>
      <w:color w:val="862F21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F7A4A"/>
  </w:style>
  <w:style w:type="paragraph" w:customStyle="1" w:styleId="Default">
    <w:name w:val="Default"/>
    <w:rsid w:val="00905D13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D759F"/>
    <w:rPr>
      <w:color w:val="605E5C"/>
      <w:shd w:val="clear" w:color="auto" w:fill="E1DFDD"/>
    </w:rPr>
  </w:style>
  <w:style w:type="paragraph" w:customStyle="1" w:styleId="bullet2">
    <w:name w:val="bullet 2"/>
    <w:basedOn w:val="ListParagraph"/>
    <w:link w:val="bullet2Char"/>
    <w:qFormat/>
    <w:rsid w:val="00E56B73"/>
    <w:pPr>
      <w:numPr>
        <w:ilvl w:val="1"/>
        <w:numId w:val="9"/>
      </w:numPr>
      <w:spacing w:before="120" w:after="0" w:line="276" w:lineRule="auto"/>
      <w:ind w:left="850" w:hanging="425"/>
      <w:contextualSpacing w:val="0"/>
    </w:pPr>
    <w:rPr>
      <w:rFonts w:ascii="Calibri Light" w:hAnsi="Calibri Light"/>
      <w:sz w:val="22"/>
      <w:szCs w:val="20"/>
      <w:lang w:val="en-AU" w:eastAsia="en-US"/>
    </w:rPr>
  </w:style>
  <w:style w:type="character" w:customStyle="1" w:styleId="bullet2Char">
    <w:name w:val="bullet 2 Char"/>
    <w:basedOn w:val="ListParagraphChar"/>
    <w:link w:val="bullet2"/>
    <w:rsid w:val="00E56B73"/>
    <w:rPr>
      <w:rFonts w:ascii="Calibri Light" w:hAnsi="Calibri Light"/>
      <w:color w:val="auto"/>
      <w:sz w:val="22"/>
      <w:szCs w:val="20"/>
      <w:lang w:val="en-AU" w:eastAsia="en-US"/>
    </w:rPr>
  </w:style>
  <w:style w:type="table" w:styleId="GridTable1Light">
    <w:name w:val="Grid Table 1 Light"/>
    <w:basedOn w:val="TableNormal"/>
    <w:uiPriority w:val="46"/>
    <w:rsid w:val="00E56B73"/>
    <w:pPr>
      <w:spacing w:before="100"/>
    </w:pPr>
    <w:rPr>
      <w:color w:val="auto"/>
      <w:sz w:val="20"/>
      <w:szCs w:val="20"/>
      <w:lang w:val="en-AU" w:eastAsia="en-US"/>
    </w:rPr>
    <w:tblPr>
      <w:tblStyleRowBandSize w:val="1"/>
      <w:tblStyleColBandSize w:val="1"/>
      <w:tblBorders>
        <w:top w:val="single" w:sz="4" w:space="0" w:color="AFAFAF" w:themeColor="text1" w:themeTint="66"/>
        <w:left w:val="single" w:sz="4" w:space="0" w:color="AFAFAF" w:themeColor="text1" w:themeTint="66"/>
        <w:bottom w:val="single" w:sz="4" w:space="0" w:color="AFAFAF" w:themeColor="text1" w:themeTint="66"/>
        <w:right w:val="single" w:sz="4" w:space="0" w:color="AFAFAF" w:themeColor="text1" w:themeTint="66"/>
        <w:insideH w:val="single" w:sz="4" w:space="0" w:color="AFAFAF" w:themeColor="text1" w:themeTint="66"/>
        <w:insideV w:val="single" w:sz="4" w:space="0" w:color="AFAFA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878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878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arCharCharChar1CharCharChar">
    <w:name w:val="Char Char Char Char1 Char Char Char"/>
    <w:basedOn w:val="Normal"/>
    <w:rsid w:val="0031354B"/>
    <w:pPr>
      <w:spacing w:after="0" w:line="240" w:lineRule="auto"/>
    </w:pPr>
    <w:rPr>
      <w:rFonts w:ascii="Arial" w:eastAsia="Times New Roman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ct.nsw.gov.au/credit-offer-portal" TargetMode="External"/><Relationship Id="rId18" Type="http://schemas.openxmlformats.org/officeDocument/2006/relationships/hyperlink" Target="https://www.environment.nsw.gov.au/topics/animals-and-plants/biodiversity-offsets-scheme/offset-obligations-and-credits-trading/biodiversity-offsets-scheme-public-registers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environment.nsw.gov.au/topics/animals-and-plants/biodiversity-offsets-scheme/offset-obligations-and-credits-trading/biodiversity-offsets-scheme-public-registers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bct.nsw.gov.au/info/biodiversity-offsets-program-outcomes" TargetMode="External"/><Relationship Id="rId20" Type="http://schemas.openxmlformats.org/officeDocument/2006/relationships/hyperlink" Target="https://www.environment.nsw.gov.au/topics/animals-and-plants/biodiversity-offsets-scheme/about-the-biodiversity-offsets-scheme/about-the-biodiversity-credits-supply-fund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nvironment.nsw.gov.au/topics/animals-and-plants/biodiversity-offsets-scheme/accredited-assessors/assessor-resources/assessor-update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pp.powerbi.com/view?r=eyJrIjoiZWI3MmZhMTctZGVjNi00ZTdlLTkwZTEtOGY4NWNhYjc3M2RiIiwidCI6Ijk2ZWY4ODIxLTJhMzktNDcxYy1iODlhLTY3YjA4MzNkZDNiOSJ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ct.nsw.gov.au/info/biodiversity-offsets-program-outcom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73737"/>
      </a:dk1>
      <a:lt1>
        <a:srgbClr val="FFFFFF"/>
      </a:lt1>
      <a:dk2>
        <a:srgbClr val="421F10"/>
      </a:dk2>
      <a:lt2>
        <a:srgbClr val="E7E2D3"/>
      </a:lt2>
      <a:accent1>
        <a:srgbClr val="421F10"/>
      </a:accent1>
      <a:accent2>
        <a:srgbClr val="862F21"/>
      </a:accent2>
      <a:accent3>
        <a:srgbClr val="F39000"/>
      </a:accent3>
      <a:accent4>
        <a:srgbClr val="E7E2D3"/>
      </a:accent4>
      <a:accent5>
        <a:srgbClr val="E7E2D3"/>
      </a:accent5>
      <a:accent6>
        <a:srgbClr val="E7E2D3"/>
      </a:accent6>
      <a:hlink>
        <a:srgbClr val="862F21"/>
      </a:hlink>
      <a:folHlink>
        <a:srgbClr val="862F2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5980-10E9-4A2F-9166-821A5165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Kellar</dc:creator>
  <cp:keywords/>
  <dc:description/>
  <cp:lastModifiedBy>Kate Moore</cp:lastModifiedBy>
  <cp:revision>2</cp:revision>
  <cp:lastPrinted>2022-08-19T05:58:00Z</cp:lastPrinted>
  <dcterms:created xsi:type="dcterms:W3CDTF">2023-05-01T23:42:00Z</dcterms:created>
  <dcterms:modified xsi:type="dcterms:W3CDTF">2023-05-01T23:42:00Z</dcterms:modified>
</cp:coreProperties>
</file>